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paper title)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6838" w:w="11906"/>
          <w:pgMar w:bottom="1440" w:top="54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D">
      <w:pPr>
        <w:pStyle w:val="Heading1"/>
        <w:numPr>
          <w:ilvl w:val="0"/>
          <w:numId w:val="1"/>
        </w:numPr>
        <w:tabs>
          <w:tab w:val="left"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rtl w:val="0"/>
        </w:rPr>
        <w:t xml:space="preserve">Ease of Use</w:t>
      </w:r>
    </w:p>
    <w:p w:rsidR="00000000" w:rsidDel="00000000" w:rsidP="00000000" w:rsidRDefault="00000000" w:rsidRPr="00000000" w14:paraId="00000010">
      <w:pPr>
        <w:pStyle w:val="Heading2"/>
        <w:numPr>
          <w:ilvl w:val="1"/>
          <w:numId w:val="1"/>
        </w:numPr>
        <w:ind w:left="288" w:hanging="288"/>
        <w:rPr/>
      </w:pPr>
      <w:r w:rsidDel="00000000" w:rsidR="00000000" w:rsidRPr="00000000">
        <w:rPr>
          <w:rtl w:val="0"/>
        </w:rPr>
        <w:t xml:space="preserve">Selecting a Template (Heading 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2">
      <w:pPr>
        <w:pStyle w:val="Heading2"/>
        <w:numPr>
          <w:ilvl w:val="1"/>
          <w:numId w:val="1"/>
        </w:numPr>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7">
      <w:pPr>
        <w:pStyle w:val="Heading2"/>
        <w:numPr>
          <w:ilvl w:val="1"/>
          <w:numId w:val="1"/>
        </w:numPr>
        <w:ind w:left="288" w:hanging="288"/>
        <w:rPr/>
      </w:pPr>
      <w:r w:rsidDel="00000000" w:rsidR="00000000" w:rsidRPr="00000000">
        <w:rPr>
          <w:rtl w:val="0"/>
        </w:rPr>
        <w:t xml:space="preserve">Abbreviations and Acronyms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9">
      <w:pPr>
        <w:pStyle w:val="Heading2"/>
        <w:numPr>
          <w:ilvl w:val="1"/>
          <w:numId w:val="1"/>
        </w:numPr>
        <w:ind w:left="288" w:hanging="288"/>
        <w:rPr/>
      </w:pPr>
      <w:r w:rsidDel="00000000" w:rsidR="00000000" w:rsidRPr="00000000">
        <w:rPr>
          <w:rtl w:val="0"/>
        </w:rPr>
        <w:t xml:space="preserve">Units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D">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pStyle w:val="Heading2"/>
        <w:numPr>
          <w:ilvl w:val="1"/>
          <w:numId w:val="1"/>
        </w:numPr>
        <w:ind w:left="288" w:hanging="288"/>
        <w:rPr/>
      </w:pPr>
      <w:r w:rsidDel="00000000" w:rsidR="00000000" w:rsidRPr="00000000">
        <w:rPr>
          <w:rtl w:val="0"/>
        </w:rPr>
        <w:t xml:space="preserve">Equations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t xml:space="preserve">Some Common Mistakes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1">
      <w:pPr>
        <w:pStyle w:val="Heading1"/>
        <w:numPr>
          <w:ilvl w:val="0"/>
          <w:numId w:val="1"/>
        </w:numPr>
        <w:tabs>
          <w:tab w:val="left" w:pos="216"/>
        </w:tabs>
        <w:ind w:left="0" w:firstLine="216"/>
        <w:rPr/>
      </w:pPr>
      <w:r w:rsidDel="00000000" w:rsidR="00000000" w:rsidRPr="00000000">
        <w:rPr>
          <w:rtl w:val="0"/>
        </w:rPr>
        <w:t xml:space="preserve">Using the Template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3">
      <w:pPr>
        <w:pStyle w:val="Heading2"/>
        <w:numPr>
          <w:ilvl w:val="1"/>
          <w:numId w:val="1"/>
        </w:numPr>
        <w:ind w:left="288" w:hanging="288"/>
        <w:rPr/>
      </w:pPr>
      <w:r w:rsidDel="00000000" w:rsidR="00000000" w:rsidRPr="00000000">
        <w:rPr>
          <w:rtl w:val="0"/>
        </w:rPr>
        <w:t xml:space="preserve">Authors and Affiliations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5">
      <w:pPr>
        <w:pStyle w:val="Heading3"/>
        <w:numPr>
          <w:ilvl w:val="2"/>
          <w:numId w:val="1"/>
        </w:numPr>
        <w:ind w:left="0" w:firstLine="180"/>
        <w:rPr/>
      </w:pPr>
      <w:r w:rsidDel="00000000" w:rsidR="00000000" w:rsidRPr="00000000">
        <w:rPr>
          <w:rtl w:val="0"/>
        </w:rPr>
        <w:t xml:space="preserve">For papers with more than six authors: </w:t>
      </w:r>
      <w:r w:rsidDel="00000000" w:rsidR="00000000" w:rsidRPr="00000000">
        <w:rPr>
          <w:i w:val="0"/>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6">
      <w:pPr>
        <w:pStyle w:val="Heading3"/>
        <w:numPr>
          <w:ilvl w:val="2"/>
          <w:numId w:val="1"/>
        </w:numPr>
        <w:ind w:left="0" w:firstLine="180"/>
        <w:rPr/>
      </w:pPr>
      <w:r w:rsidDel="00000000" w:rsidR="00000000" w:rsidRPr="00000000">
        <w:rPr>
          <w:rtl w:val="0"/>
        </w:rPr>
        <w:t xml:space="preserve">For papers with less than six authors: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9">
      <w:pPr>
        <w:pStyle w:val="Heading4"/>
        <w:numPr>
          <w:ilvl w:val="3"/>
          <w:numId w:val="1"/>
        </w:numPr>
        <w:tabs>
          <w:tab w:val="left" w:pos="720"/>
        </w:tabs>
        <w:ind w:left="0" w:firstLine="360"/>
        <w:rPr>
          <w:i w:val="0"/>
        </w:rPr>
      </w:pPr>
      <w:r w:rsidDel="00000000" w:rsidR="00000000" w:rsidRPr="00000000">
        <w:rPr>
          <w:rtl w:val="0"/>
        </w:rPr>
        <w:t xml:space="preserve">Deletion: </w:t>
      </w:r>
      <w:r w:rsidDel="00000000" w:rsidR="00000000" w:rsidRPr="00000000">
        <w:rPr>
          <w:i w:val="0"/>
          <w:rtl w:val="0"/>
        </w:rPr>
        <w:t xml:space="preserve">Delete the author and affiliation lines for the extra authors.</w:t>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pStyle w:val="Heading2"/>
        <w:numPr>
          <w:ilvl w:val="1"/>
          <w:numId w:val="1"/>
        </w:numPr>
        <w:ind w:left="288" w:hanging="288"/>
        <w:rPr/>
      </w:pPr>
      <w:r w:rsidDel="00000000" w:rsidR="00000000" w:rsidRPr="00000000">
        <w:rPr>
          <w:rtl w:val="0"/>
        </w:rPr>
        <w:t xml:space="preserve">Identify the Headings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F">
      <w:pPr>
        <w:pStyle w:val="Heading2"/>
        <w:numPr>
          <w:ilvl w:val="1"/>
          <w:numId w:val="1"/>
        </w:numPr>
        <w:ind w:left="288" w:hanging="288"/>
        <w:rPr/>
      </w:pPr>
      <w:r w:rsidDel="00000000" w:rsidR="00000000" w:rsidRPr="00000000">
        <w:rPr>
          <w:rtl w:val="0"/>
        </w:rPr>
        <w:t xml:space="preserve">Figures and Tables</w:t>
      </w:r>
    </w:p>
    <w:p w:rsidR="00000000" w:rsidDel="00000000" w:rsidP="00000000" w:rsidRDefault="00000000" w:rsidRPr="00000000" w14:paraId="00000040">
      <w:pPr>
        <w:pStyle w:val="Heading4"/>
        <w:numPr>
          <w:ilvl w:val="3"/>
          <w:numId w:val="1"/>
        </w:numPr>
        <w:tabs>
          <w:tab w:val="left" w:pos="720"/>
        </w:tabs>
        <w:ind w:left="0" w:firstLine="36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C">
            <w:pPr>
              <w:rPr>
                <w:sz w:val="16"/>
                <w:szCs w:val="16"/>
              </w:rPr>
            </w:pPr>
            <w:r w:rsidDel="00000000" w:rsidR="00000000" w:rsidRPr="00000000">
              <w:rPr>
                <w:rtl w:val="0"/>
              </w:rPr>
            </w:r>
          </w:p>
        </w:tc>
        <w:tc>
          <w:tcPr>
            <w:vAlign w:val="center"/>
          </w:tcPr>
          <w:p w:rsidR="00000000" w:rsidDel="00000000" w:rsidP="00000000" w:rsidRDefault="00000000" w:rsidRPr="00000000" w14:paraId="0000004D">
            <w:pPr>
              <w:rPr>
                <w:sz w:val="16"/>
                <w:szCs w:val="16"/>
              </w:rPr>
            </w:pPr>
            <w:r w:rsidDel="00000000" w:rsidR="00000000" w:rsidRPr="00000000">
              <w:rPr>
                <w:rtl w:val="0"/>
              </w:rPr>
            </w:r>
          </w:p>
        </w:tc>
      </w:tr>
    </w:tbl>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1">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3">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pgMar w:bottom="1440" w:top="1080" w:left="907" w:right="907" w:header="720" w:footer="632"/>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2"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209925" cy="1152525"/>
                        </a:xfrm>
                        <a:prstGeom prst="rect"/>
                        <a:ln/>
                      </pic:spPr>
                    </pic:pic>
                  </a:graphicData>
                </a:graphic>
              </wp:anchor>
            </w:drawing>
          </mc:Fallback>
        </mc:AlternateContent>
      </w:r>
    </w:p>
    <w:sectPr>
      <w:type w:val="continuous"/>
      <w:pgSz w:h="16838" w:w="11906"/>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Arial-Bold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441"/>
      </w:tabs>
      <w:spacing w:after="0" w:before="0" w:line="240" w:lineRule="auto"/>
      <w:ind w:left="0" w:right="0" w:firstLine="0"/>
      <w:jc w:val="both"/>
      <w:rPr>
        <w:rFonts w:ascii="Arial-BoldMT" w:cs="Arial-BoldMT" w:eastAsia="Arial-BoldMT" w:hAnsi="Arial-BoldMT"/>
        <w:b w:val="0"/>
        <w:i w:val="0"/>
        <w:smallCaps w:val="0"/>
        <w:strike w:val="0"/>
        <w:color w:val="3d3c3e"/>
        <w:sz w:val="17"/>
        <w:szCs w:val="17"/>
        <w:u w:val="none"/>
        <w:shd w:fill="auto" w:val="clear"/>
        <w:vertAlign w:val="baseline"/>
      </w:rPr>
    </w:pPr>
    <w:r w:rsidDel="00000000" w:rsidR="00000000" w:rsidRPr="00000000">
      <w:rPr>
        <w:rFonts w:ascii="Arial-BoldMT" w:cs="Arial-BoldMT" w:eastAsia="Arial-BoldMT" w:hAnsi="Arial-BoldMT"/>
        <w:b w:val="0"/>
        <w:i w:val="0"/>
        <w:smallCaps w:val="0"/>
        <w:strike w:val="0"/>
        <w:color w:val="3d3c3e"/>
        <w:sz w:val="17"/>
        <w:szCs w:val="17"/>
        <w:u w:val="none"/>
        <w:shd w:fill="auto" w:val="clear"/>
        <w:vertAlign w:val="baseline"/>
        <w:rtl w:val="0"/>
      </w:rPr>
      <w:t xml:space="preserve">978-1-7281-3401-7/18/$31.00 ©20</w:t>
    </w:r>
    <w:r w:rsidDel="00000000" w:rsidR="00000000" w:rsidRPr="00000000">
      <w:rPr>
        <w:rFonts w:ascii="Arial-BoldMT" w:cs="Arial-BoldMT" w:eastAsia="Arial-BoldMT" w:hAnsi="Arial-BoldMT"/>
        <w:color w:val="3d3c3e"/>
        <w:sz w:val="17"/>
        <w:szCs w:val="17"/>
        <w:rtl w:val="0"/>
      </w:rPr>
      <w:t xml:space="preserve">21</w:t>
    </w:r>
    <w:r w:rsidDel="00000000" w:rsidR="00000000" w:rsidRPr="00000000">
      <w:rPr>
        <w:rFonts w:ascii="Arial-BoldMT" w:cs="Arial-BoldMT" w:eastAsia="Arial-BoldMT" w:hAnsi="Arial-BoldMT"/>
        <w:b w:val="0"/>
        <w:i w:val="0"/>
        <w:smallCaps w:val="0"/>
        <w:strike w:val="0"/>
        <w:color w:val="3d3c3e"/>
        <w:sz w:val="17"/>
        <w:szCs w:val="17"/>
        <w:u w:val="none"/>
        <w:shd w:fill="auto" w:val="clear"/>
        <w:vertAlign w:val="baseline"/>
        <w:rtl w:val="0"/>
      </w:rPr>
      <w:t xml:space="preserve"> IEEE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 </w:t>
    </w:r>
    <w:r w:rsidDel="00000000" w:rsidR="00000000" w:rsidRPr="00000000">
      <w:rPr>
        <w:rFonts w:ascii="Arial-BoldMT" w:cs="Arial-BoldMT" w:eastAsia="Arial-BoldMT" w:hAnsi="Arial-BoldMT"/>
        <w:b w:val="0"/>
        <w:i w:val="0"/>
        <w:smallCaps w:val="0"/>
        <w:strike w:val="0"/>
        <w:color w:val="3d3c3e"/>
        <w:sz w:val="17"/>
        <w:szCs w:val="17"/>
        <w:u w:val="none"/>
        <w:shd w:fill="auto" w:val="clear"/>
        <w:vertAlign w:val="baseline"/>
        <w:rtl w:val="0"/>
      </w:rPr>
      <w:t xml:space="preserve">202</w:t>
    </w:r>
    <w:r w:rsidDel="00000000" w:rsidR="00000000" w:rsidRPr="00000000">
      <w:rPr>
        <w:rFonts w:ascii="Arial-BoldMT" w:cs="Arial-BoldMT" w:eastAsia="Arial-BoldMT" w:hAnsi="Arial-BoldMT"/>
        <w:color w:val="3d3c3e"/>
        <w:sz w:val="17"/>
        <w:szCs w:val="17"/>
        <w:rtl w:val="0"/>
      </w:rPr>
      <w:t xml:space="preserve">1</w:t>
    </w:r>
    <w:r w:rsidDel="00000000" w:rsidR="00000000" w:rsidRPr="00000000">
      <w:rPr>
        <w:rFonts w:ascii="Arial-BoldMT" w:cs="Arial-BoldMT" w:eastAsia="Arial-BoldMT" w:hAnsi="Arial-BoldMT"/>
        <w:b w:val="0"/>
        <w:i w:val="0"/>
        <w:smallCaps w:val="0"/>
        <w:strike w:val="0"/>
        <w:color w:val="3d3c3e"/>
        <w:sz w:val="17"/>
        <w:szCs w:val="17"/>
        <w:u w:val="none"/>
        <w:shd w:fill="auto" w:val="clear"/>
        <w:vertAlign w:val="baseline"/>
        <w:rtl w:val="0"/>
      </w:rPr>
      <w:t xml:space="preserve"> IEEE International Conference on Engineering,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441"/>
      </w:tabs>
      <w:spacing w:after="0" w:before="0" w:line="240" w:lineRule="auto"/>
      <w:ind w:left="0" w:right="0" w:firstLine="0"/>
      <w:jc w:val="right"/>
      <w:rPr>
        <w:rFonts w:ascii="Arial-BoldMT" w:cs="Arial-BoldMT" w:eastAsia="Arial-BoldMT" w:hAnsi="Arial-BoldMT"/>
        <w:b w:val="0"/>
        <w:i w:val="0"/>
        <w:smallCaps w:val="0"/>
        <w:strike w:val="0"/>
        <w:color w:val="3d3c3e"/>
        <w:sz w:val="17"/>
        <w:szCs w:val="17"/>
        <w:u w:val="none"/>
        <w:shd w:fill="auto" w:val="clear"/>
        <w:vertAlign w:val="baseline"/>
      </w:rPr>
    </w:pPr>
    <w:r w:rsidDel="00000000" w:rsidR="00000000" w:rsidRPr="00000000">
      <w:rPr>
        <w:rFonts w:ascii="Arial-BoldMT" w:cs="Arial-BoldMT" w:eastAsia="Arial-BoldMT" w:hAnsi="Arial-BoldMT"/>
        <w:b w:val="0"/>
        <w:i w:val="0"/>
        <w:smallCaps w:val="0"/>
        <w:strike w:val="0"/>
        <w:color w:val="3d3c3e"/>
        <w:sz w:val="17"/>
        <w:szCs w:val="17"/>
        <w:u w:val="none"/>
        <w:shd w:fill="auto" w:val="clear"/>
        <w:vertAlign w:val="baseline"/>
        <w:rtl w:val="0"/>
      </w:rPr>
      <w:t xml:space="preserve">Technology and Innovation (ICE/ITMC)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978-1-7281-3401-7/18/$31.00 ©202</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IEEE                                                                            202</w:t>
    </w:r>
    <w:r w:rsidDel="00000000" w:rsidR="00000000" w:rsidRPr="00000000">
      <w:rPr>
        <w:rFonts w:ascii="Arial" w:cs="Arial" w:eastAsia="Arial" w:hAnsi="Arial"/>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IEEE International Conference on Engineering,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Technology and Innovation (ICE/ITMC)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uiPriority w:val="99"/>
    <w:qFormat w:val="1"/>
    <w:rsid w:val="001A3B3D"/>
    <w:pPr>
      <w:tabs>
        <w:tab w:val="center" w:pos="4680"/>
        <w:tab w:val="right" w:pos="9360"/>
      </w:tabs>
    </w:pPr>
  </w:style>
  <w:style w:type="character" w:styleId="FooterChar" w:customStyle="1">
    <w:name w:val="Footer Char"/>
    <w:basedOn w:val="DefaultParagraphFont"/>
    <w:link w:val="Footer"/>
    <w:uiPriority w:val="99"/>
    <w:rsid w:val="001A3B3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TUPNPy4FTupOlAuQiexcOM+Aw==">AMUW2mUeOp4Xa6yP+J4xLS9JFNmUuLgoR0ZXIdxlRoDLIIEKddqJR8q4nx1wtlnRcuaxL0a8pbMwxKTkO0TSdXI7VozjYv6utHM4Lc9AUHFwyvJ8q59CD6jmQu6tH2LUjWp81lfhG56u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2019-09-25T09:32:00Z</dcterms:created>
  <dc:creator>IEEE</dc:creator>
</cp:coreProperties>
</file>