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  <Override PartName="/word/media/rId32.pdf" ContentType="application/pdf"/>
  <Override PartName="/word/media/rId36.pdf" ContentType="application/pdf"/>
  <Override PartName="/word/media/rId28.pdf" ContentType="application/pdf"/>
  <Override PartName="/word/media/rId24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</w:t>
      </w:r>
      <w:r>
        <w:t xml:space="preserve"> </w:t>
      </w:r>
      <w:r>
        <w:t xml:space="preserve">4</w:t>
      </w:r>
    </w:p>
    <w:bookmarkStart w:id="40" w:name="Xedfd58eaba4604631b4626acfd47568585153ec"/>
    <w:p>
      <w:pPr>
        <w:pStyle w:val="Heading2"/>
      </w:pPr>
      <w:r>
        <w:t xml:space="preserve">Step 3 – Identify local source of plastic waste</w:t>
      </w:r>
    </w:p>
    <w:p>
      <w:pPr>
        <w:pStyle w:val="FirstParagraph"/>
      </w:pPr>
      <w:r>
        <w:t xml:space="preserve">This step seeks to establish a first network of plastic wastes source from the local ecosystem.</w:t>
      </w:r>
      <w:r>
        <w:t xml:space="preserve"> </w:t>
      </w:r>
      <w:r>
        <w:t xml:space="preserve">The task of the identification of local source of plastic is fundamental as the first stage in the recovery process.</w:t>
      </w:r>
      <w:r>
        <w:br/>
      </w:r>
      <w:r>
        <w:t xml:space="preserve">As illustrated in the</w:t>
      </w:r>
      <w:r>
        <w:t xml:space="preserve"> </w:t>
      </w:r>
      <w:hyperlink w:anchor="fig-fedoua-00">
        <w:r>
          <w:rPr>
            <w:rStyle w:val="Hyperlink"/>
          </w:rPr>
          <w:t xml:space="preserve">Figure 1</w:t>
        </w:r>
      </w:hyperlink>
      <w:r>
        <w:t xml:space="preserve">, the methodological approach included the following steps:</w:t>
      </w:r>
    </w:p>
    <w:p>
      <w:pPr>
        <w:numPr>
          <w:ilvl w:val="0"/>
          <w:numId w:val="1001"/>
        </w:numPr>
        <w:pStyle w:val="Compact"/>
      </w:pPr>
      <w:r>
        <w:t xml:space="preserve">Pre-diagnosis of the territorial context,</w:t>
      </w:r>
    </w:p>
    <w:p>
      <w:pPr>
        <w:numPr>
          <w:ilvl w:val="0"/>
          <w:numId w:val="1001"/>
        </w:numPr>
        <w:pStyle w:val="Compact"/>
      </w:pPr>
      <w:r>
        <w:t xml:space="preserve">Identification of the actors,</w:t>
      </w:r>
    </w:p>
    <w:p>
      <w:pPr>
        <w:numPr>
          <w:ilvl w:val="0"/>
          <w:numId w:val="1001"/>
        </w:numPr>
        <w:pStyle w:val="Compact"/>
      </w:pPr>
      <w:r>
        <w:t xml:space="preserve">Analysis of the actors’ involvement and implementation of the smart collector, and finally,</w:t>
      </w:r>
    </w:p>
    <w:p>
      <w:pPr>
        <w:numPr>
          <w:ilvl w:val="0"/>
          <w:numId w:val="1001"/>
        </w:numPr>
        <w:pStyle w:val="Compact"/>
      </w:pPr>
      <w:r>
        <w:t xml:space="preserve">Implementation &amp; monitoring.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fedoua-00"/>
          <w:p>
            <w:pPr>
              <w:pStyle w:val="Figure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Fedoua-00.pdf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Methodological steps for the identification of local sources of plastic wastes</w:t>
            </w:r>
          </w:p>
          <w:bookmarkEnd w:id="23"/>
        </w:tc>
      </w:tr>
    </w:tbl>
    <w:p>
      <w:pPr>
        <w:pStyle w:val="BodyText"/>
      </w:pPr>
      <w:r>
        <w:t xml:space="preserve">Regarding the pre-diagnosis phase, the purpose was to align the INEDIT project with the territorial context.</w:t>
      </w:r>
      <w:r>
        <w:t xml:space="preserve"> </w:t>
      </w:r>
      <w:r>
        <w:t xml:space="preserve">To do so, between XX-2021 and YY-2022, the UL team had exchange with key actors of territorial development agencies and associations (Annex XX for more details) and the priorities in terms of sustainable development.</w:t>
      </w:r>
      <w:r>
        <w:t xml:space="preserve"> </w:t>
      </w:r>
      <w:r>
        <w:t xml:space="preserve">The main output of this phase was the establishment of an initial Swot-Pestel analysis for the implementation of a local recycling network of plastic waste at the neighborhood of Rives de Meurthe at Nancy.</w:t>
      </w:r>
    </w:p>
    <w:p>
      <w:pPr>
        <w:pStyle w:val="BodyText"/>
      </w:pPr>
      <w:r>
        <w:t xml:space="preserve">Based on this first step, it was possible to identify relevant stakehoders in the local ecosystems to inquire on the issue of plastic wastes source.</w:t>
      </w:r>
      <w:r>
        <w:t xml:space="preserve"> </w:t>
      </w:r>
      <w:r>
        <w:t xml:space="preserve"> </w:t>
      </w:r>
      <w:r>
        <w:t xml:space="preserve">First, they needeed to be in a geographical range perimeter (less than 2km around the Green Fablab) following the observations of</w:t>
      </w:r>
      <w:r>
        <w:t xml:space="preserve"> </w:t>
      </w:r>
      <w:r>
        <w:t xml:space="preserve">[@CruzSanchez2020, @Santander2020]</w:t>
      </w:r>
      <w:r>
        <w:t xml:space="preserve">.</w:t>
      </w:r>
      <w:r>
        <w:t xml:space="preserve"> </w:t>
      </w:r>
      <w:r>
        <w:t xml:space="preserve">Limiting the geographical perimeter of collection helps in the reduction of environmental impact because of the reduction of transport impact.</w:t>
      </w:r>
      <w:r>
        <w:t xml:space="preserve"> </w:t>
      </w:r>
      <w:r>
        <w:t xml:space="preserve"> </w:t>
      </w:r>
      <w:r>
        <w:t xml:space="preserve">Second, the diversification of the actor profile that can be sensibilized to the participation of the collection (general public, employees, students) and/or stakeholder’s status (Public, Private, Associative) where the smart collector can be deployed.</w:t>
      </w:r>
      <w:r>
        <w:t xml:space="preserve"> </w:t>
      </w:r>
      <w:r>
        <w:t xml:space="preserve">These two elements were essential to consider because the experimentation seeks to establish a baseline of the recovery process given the uncertainties of participation of the local context and the sensitization to the management of the plastic by the general public.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7" w:name="fig-ecosystem-00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2971800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figures/fedoua/Ecosystem-01.pdf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297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Local ecosystem interviewed about the implementation ofa 3D printing recycled demostrator</w:t>
                  </w:r>
                </w:p>
                <w:bookmarkEnd w:id="27"/>
              </w:tc>
            </w:tr>
          </w:tbl>
          <w:p/>
        </w:tc>
        <w:tc>
          <w:tcPr/>
          <w:p>
            <w:pPr>
              <w:jc w:val="center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ook w:firstRow="0" w:lastRow="0" w:firstColumn="0" w:lastColumn="0" w:noHBand="0" w:noVBand="0" w:val="0000"/>
      </w:tblPr>
      <w:tblGrid>
        <w:gridCol w:w="3960"/>
      </w:tblGrid>
      <w:tr>
        <w:tc>
          <w:tcPr/>
          <w:tbl>
            <w:tblPr>
              <w:tblStyle w:val="Table"/>
              <w:tblW w:type="pct" w:w="500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1" w:name="fig-ecosystem-01"/>
                <w:p>
                  <w:pPr>
                    <w:pStyle w:val="Figure"/>
                    <w:jc w:val="center"/>
                    <w:jc w:val="center"/>
                  </w:pPr>
                  <w:r>
                    <w:drawing>
                      <wp:inline>
                        <wp:extent cx="2971800" cy="1981200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figures/fedoua/Ecosystem-00.pdf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Type of stakeholders for the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2: LOcal ecosystem enquired</w:t>
      </w:r>
    </w:p>
    <w:p>
      <w:pPr>
        <w:pStyle w:val="BodyText"/>
      </w:pPr>
      <w:r>
        <w:t xml:space="preserve">A total of 23 actors were interviewed in the period of time of XX-2020 - YY-2022, of which 21 by physical or telephone interview and 2 by electronic questionnaire</w:t>
      </w:r>
      <w:r>
        <w:t xml:space="preserve"> </w:t>
      </w:r>
      <w:r>
        <w:t xml:space="preserve"> </w:t>
      </w:r>
      <w:r>
        <w:t xml:space="preserve">They were mainly companies (X% small and Y% medium size), associative entities, academic sector.</w:t>
      </w:r>
      <w:r>
        <w:t xml:space="preserve"> </w:t>
      </w:r>
      <w:r>
        <w:t xml:space="preserve">The diversity of the public was an interesting criterion for the study.</w:t>
      </w:r>
      <w:r>
        <w:t xml:space="preserve"> </w:t>
      </w:r>
      <w:r>
        <w:t xml:space="preserve">Participants in the economic, cultural and social dynamics of the district through their membership in the local association of economic actors of the territory.</w:t>
      </w:r>
    </w:p>
    <w:p>
      <w:pPr>
        <w:pStyle w:val="BodyText"/>
      </w:pPr>
      <w:r>
        <w:t xml:space="preserve">The scope of activity of most of the respondents is local (at the level of the neighborhood or city) which may reflect a strong territorial anchoring and a commitment to local concerns and issues (waste management, social welfare, local job creation…).</w:t>
      </w:r>
      <w:r>
        <w:t xml:space="preserve"> </w:t>
      </w:r>
      <w:r>
        <w:t xml:space="preserve">The majority of their business decisions are made locally, which reduces the risk of depending on the interests of entities outside the territory.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acceptability-01"/>
          <w:p>
            <w:pPr>
              <w:pStyle w:val="Figure"/>
              <w:jc w:val="center"/>
            </w:pPr>
            <w:r>
              <w:drawing>
                <wp:inline>
                  <wp:extent cx="5334000" cy="296333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fedoua/Acceptability-01.pdf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Local ecosystem interviewed about the implementation ofa 3D printing recycled demostrator</w:t>
            </w:r>
          </w:p>
          <w:bookmarkEnd w:id="35"/>
        </w:tc>
      </w:tr>
    </w:tbl>
    <w:p>
      <w:pPr>
        <w:pStyle w:val="BodyText"/>
      </w:pPr>
      <w:r>
        <w:t xml:space="preserve">To do this, we identified the role of each actor, then the sources of plastic waste collection, and then identify the sources of 3D printing and potential synergies with LF2L.</w:t>
      </w:r>
      <w:r>
        <w:t xml:space="preserve"> </w:t>
      </w:r>
      <w:r>
        <w:t xml:space="preserve">In order to achieve these results, an exchange with key actors in territorial development was necessary.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acceptability-02"/>
          <w:p>
            <w:pPr>
              <w:pStyle w:val="Figure"/>
              <w:jc w:val="center"/>
            </w:pPr>
            <w:r>
              <w:drawing>
                <wp:inline>
                  <wp:extent cx="5334000" cy="296333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figures/fedoua/Acceptability-02.pdf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6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Acceptability of the possible use of</w:t>
            </w:r>
            <w:r>
              <w:t xml:space="preserve"> </w:t>
            </w:r>
            <w:r>
              <w:t xml:space="preserve">‘</w:t>
            </w:r>
            <w:r>
              <w:t xml:space="preserve">smart collector</w:t>
            </w:r>
            <w:r>
              <w:t xml:space="preserve">’</w:t>
            </w:r>
            <w:r>
              <w:t xml:space="preserve"> </w:t>
            </w:r>
            <w:r>
              <w:t xml:space="preserve">for the</w:t>
            </w:r>
          </w:p>
          <w:bookmarkEnd w:id="39"/>
        </w:tc>
      </w:tr>
    </w:tbl>
    <w:p>
      <w:pPr>
        <w:pStyle w:val="BodyText"/>
      </w:pPr>
      <w:r>
        <w:t xml:space="preserve">Thanks to this approach, we have identified eigth collection sites at the local territory for the deployment of the smart collector.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image" Id="rId32" Target="media/rId32.pdf" /><Relationship Type="http://schemas.openxmlformats.org/officeDocument/2006/relationships/image" Id="rId36" Target="media/rId36.pdf" /><Relationship Type="http://schemas.openxmlformats.org/officeDocument/2006/relationships/image" Id="rId28" Target="media/rId28.pdf" /><Relationship Type="http://schemas.openxmlformats.org/officeDocument/2006/relationships/image" Id="rId24" Target="media/rId24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 4</dc:title>
  <dc:creator/>
  <cp:keywords/>
  <dcterms:created xsi:type="dcterms:W3CDTF">2023-02-28T14:56:48Z</dcterms:created>
  <dcterms:modified xsi:type="dcterms:W3CDTF">2023-02-28T14:56:48Z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