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SASHA — Strategic Architecture Plan</w:t>
      </w:r>
    </w:p>
    <w:p>
      <w:pPr>
        <w:pStyle w:val="Heading1"/>
        <w:spacing w:after="100"/>
        <w:jc w:val="center"/>
      </w:pPr>
      <w:r>
        <w:t xml:space="preserve">Cavity Sliders</w:t>
      </w:r>
    </w:p>
    <w:p>
      <w:pPr>
        <w:spacing w:after="400"/>
        <w:jc w:val="center"/>
      </w:pPr>
      <w:r>
        <w:t xml:space="preserve">Generated: 2026-04-29 | Strategic Edition</w:t>
      </w: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t xml:space="preserve">Derived from CODI v4 pipeline export — 10776 keywords analyzed, 1 topics identified. Total unmet opportunity gap: 10776 keywords. This plan follows the 4-weight content framework focusing on B2B-first content for contractors, architects, specifiers, and dealers.</w:t>
      </w:r>
    </w:p>
    <w:p>
      <w:pPr>
        <w:pStyle w:val="Heading2"/>
      </w:pPr>
      <w:r>
        <w:t xml:space="preserve">Key Statistics</w:t>
      </w:r>
    </w:p>
    <w:p>
      <w:r>
        <w:t xml:space="preserve">• Keywords analyzed: 10,776</w:t>
      </w:r>
    </w:p>
    <w:p>
      <w:r>
        <w:t xml:space="preserve">• Topics/clusters: 1</w:t>
      </w:r>
    </w:p>
    <w:p>
      <w:r>
        <w:t xml:space="preserve">• Unmet opportunity gap: 10,776 keywords</w:t>
      </w:r>
    </w:p>
    <w:p>
      <w:r>
        <w:t xml:space="preserve">• Critical urgency items: 0</w:t>
      </w:r>
    </w:p>
    <w:p>
      <w:r>
        <w:t xml:space="preserve">• High urgency items: 0</w:t>
      </w:r>
    </w:p>
    <w:p>
      <w:pPr>
        <w:spacing w:after="200"/>
      </w:pPr>
      <w:r>
        <w:t xml:space="preserve">• Content weights: heaviest=446, heavy=161, medium=261, light=10042</w:t>
      </w:r>
    </w:p>
    <w:p>
      <w:pPr>
        <w:pStyle w:val="Heading1"/>
      </w:pPr>
      <w:r>
        <w:t xml:space="preserve">Phase 1: Core Product Categories (B2B First)</w:t>
      </w:r>
    </w:p>
    <w:p>
      <w:pPr>
        <w:spacing w:after="200"/>
      </w:pPr>
      <w:r>
        <w:t xml:space="preserve">Mission: Build content for the client's core product categories with content built for contractors, architects and dealers, not homeowners.</w:t>
      </w:r>
    </w:p>
    <w:p>
      <w:pPr>
        <w:pStyle w:val="Heading2"/>
      </w:pPr>
      <w:r>
        <w:t xml:space="preserve">Key pages to build:</w:t>
      </w:r>
    </w:p>
    <w:p>
      <w:pPr>
        <w:pStyle w:val="Heading3"/>
      </w:pPr>
      <w:r>
        <w:t xml:space="preserve">1. Pocket Door Hardware Kits</w:t>
      </w:r>
    </w:p>
    <w:p>
      <w:pPr>
        <w:spacing w:after="100"/>
      </w:pPr>
      <w:r>
        <w:t xml:space="preserve">   Content weight: light | Intent: commercial</w:t>
      </w:r>
    </w:p>
    <w:p>
      <w:pPr>
        <w:pStyle w:val="Heading3"/>
      </w:pPr>
      <w:r>
        <w:t xml:space="preserve">2. Heavy Duty Pocket Door Frames</w:t>
      </w:r>
    </w:p>
    <w:p>
      <w:pPr>
        <w:spacing w:after="100"/>
      </w:pPr>
      <w:r>
        <w:t xml:space="preserve">   Content weight: light | Intent: commercial</w:t>
      </w:r>
    </w:p>
    <w:p>
      <w:pPr>
        <w:pStyle w:val="Heading3"/>
      </w:pPr>
      <w:r>
        <w:t xml:space="preserve">3. Pocket Door Hardware for Commercial Use</w:t>
      </w:r>
    </w:p>
    <w:p>
      <w:pPr>
        <w:spacing w:after="100"/>
      </w:pPr>
      <w:r>
        <w:t xml:space="preserve">   Content weight: medium | Intent: commercial</w:t>
      </w:r>
    </w:p>
    <w:p>
      <w:pPr>
        <w:pStyle w:val="Heading3"/>
      </w:pPr>
      <w:r>
        <w:t xml:space="preserve">4. ADA Compliant Pocket Door Systems</w:t>
      </w:r>
    </w:p>
    <w:p>
      <w:pPr>
        <w:spacing w:after="100"/>
      </w:pPr>
      <w:r>
        <w:t xml:space="preserve">   Content weight: medium | Intent: commercial</w:t>
      </w:r>
    </w:p>
    <w:p>
      <w:pPr>
        <w:pStyle w:val="Heading3"/>
      </w:pPr>
      <w:r>
        <w:t xml:space="preserve">5. How to Install a Pocket Door Frame (Commercial Specs)</w:t>
      </w:r>
    </w:p>
    <w:p>
      <w:pPr>
        <w:spacing w:after="100"/>
      </w:pPr>
      <w:r>
        <w:t xml:space="preserve">   Content weight: heavy | Intent: commercial</w:t>
      </w:r>
    </w:p>
    <w:p>
      <w:pPr>
        <w:pStyle w:val="Heading3"/>
      </w:pPr>
      <w:r>
        <w:t xml:space="preserve">6. Pocket Door Maintenance Guide for Facility Managers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3"/>
      </w:pPr>
      <w:r>
        <w:t xml:space="preserve">7. Fire Rated Pocket Door Hardware</w:t>
      </w:r>
    </w:p>
    <w:p>
      <w:pPr>
        <w:spacing w:after="100"/>
      </w:pPr>
      <w:r>
        <w:t xml:space="preserve">   Content weight: light | Intent: commercial</w:t>
      </w:r>
    </w:p>
    <w:p>
      <w:pPr>
        <w:pStyle w:val="Heading1"/>
      </w:pPr>
      <w:r>
        <w:t xml:space="preserve">Phase 2: Adjacent Categories</w:t>
      </w:r>
    </w:p>
    <w:p>
      <w:pPr>
        <w:spacing w:after="200"/>
      </w:pPr>
      <w:r>
        <w:t xml:space="preserve">Mission: Enter product-adjacent categories where the client has genuine products but zero search presence.</w:t>
      </w:r>
    </w:p>
    <w:p>
      <w:pPr>
        <w:pStyle w:val="Heading3"/>
      </w:pPr>
      <w:r>
        <w:t xml:space="preserve">1. Sliding Door Hardware Systems for Commercial Spaces</w:t>
      </w:r>
    </w:p>
    <w:p>
      <w:pPr>
        <w:pStyle w:val="Heading3"/>
      </w:pPr>
      <w:r>
        <w:t xml:space="preserve">2. Bi-Fold Door Hardware for Multi-Family Projects</w:t>
      </w:r>
    </w:p>
    <w:p>
      <w:pPr>
        <w:pStyle w:val="Heading3"/>
      </w:pPr>
      <w:r>
        <w:t xml:space="preserve">3. Heavy Duty Barn Door Tracks for Commercial Use</w:t>
      </w:r>
    </w:p>
    <w:p>
      <w:pPr>
        <w:pStyle w:val="Heading3"/>
      </w:pPr>
      <w:r>
        <w:t xml:space="preserve">4. Folding Door Systems: Specifier Guide</w:t>
      </w:r>
    </w:p>
    <w:p>
      <w:pPr>
        <w:pStyle w:val="Heading3"/>
      </w:pPr>
      <w:r>
        <w:t xml:space="preserve">5. Sliding vs Pocket Door: Which is Right for Your Project?</w:t>
      </w:r>
    </w:p>
    <w:p>
      <w:pPr>
        <w:pStyle w:val="Heading3"/>
      </w:pPr>
      <w:r>
        <w:t xml:space="preserve">6. Automatic Sliding Door Hardware for Hospitals</w:t>
      </w:r>
    </w:p>
    <w:p>
      <w:pPr>
        <w:pStyle w:val="Heading3"/>
      </w:pPr>
      <w:r>
        <w:t xml:space="preserve">7. Sliding Door Hardware Installation Guide (Commercial Standards)</w:t>
      </w:r>
    </w:p>
    <w:p>
      <w:pPr>
        <w:pStyle w:val="Heading1"/>
      </w:pPr>
      <w:r>
        <w:t xml:space="preserve">Phase 3: Authority Building</w:t>
      </w:r>
    </w:p>
    <w:p>
      <w:pPr>
        <w:spacing w:after="200"/>
      </w:pPr>
      <w:r>
        <w:t xml:space="preserve">Mission: Establish the client as the definitive reference for their product categories across the industry.</w:t>
      </w:r>
    </w:p>
    <w:p>
      <w:pPr>
        <w:pStyle w:val="Heading3"/>
      </w:pPr>
      <w:r>
        <w:t xml:space="preserve">1. Architectural Hardware Specifications: A Complete Guide</w:t>
      </w:r>
    </w:p>
    <w:p>
      <w:pPr>
        <w:pStyle w:val="Heading3"/>
      </w:pPr>
      <w:r>
        <w:t xml:space="preserve">2. The Future of Pocket Door Technology: Innovations in Automatic and Soft-Close Systems</w:t>
      </w:r>
    </w:p>
    <w:p>
      <w:pPr>
        <w:pStyle w:val="Heading3"/>
      </w:pPr>
      <w:r>
        <w:t xml:space="preserve">3. How to Choose the Right Commercial Door Hardware for Multi-Family Projects</w:t>
      </w:r>
    </w:p>
    <w:p>
      <w:pPr>
        <w:pStyle w:val="Heading3"/>
      </w:pPr>
      <w:r>
        <w:t xml:space="preserve">4. Fire Code Compliance for Architectural Hardware</w:t>
      </w:r>
    </w:p>
    <w:p>
      <w:pPr>
        <w:pStyle w:val="Heading3"/>
      </w:pPr>
      <w:r>
        <w:t xml:space="preserve">5. Case Studies: Large-Scale Commercial Door Hardware Installations</w:t>
      </w:r>
    </w:p>
    <w:p>
      <w:pPr>
        <w:pStyle w:val="Heading3"/>
      </w:pPr>
      <w:r>
        <w:t xml:space="preserve">6. Glossary of Architectural Hardware Terms for Specifiers</w:t>
      </w:r>
    </w:p>
    <w:p>
      <w:pPr>
        <w:pStyle w:val="Heading3"/>
      </w:pPr>
      <w:r>
        <w:t xml:space="preserve">7. Sustainability in Architectural Hardware: Eco-Friendly Materials and Practices</w:t>
      </w:r>
    </w:p>
    <w:p>
      <w:pPr>
        <w:pStyle w:val="Heading1"/>
      </w:pPr>
      <w:r>
        <w:t xml:space="preserve">Competitive Landscape</w:t>
      </w:r>
    </w:p>
    <w:p>
      <w:pPr>
        <w:spacing w:after="200"/>
      </w:pPr>
      <w:r>
        <w:t xml:space="preserve">Key competitors identified from LAYLA analysis: Various competitors in the space.</w:t>
      </w:r>
    </w:p>
    <w:p>
      <w:pPr>
        <w:pStyle w:val="Heading1"/>
      </w:pPr>
      <w:r>
        <w:t xml:space="preserve">Mandatory B2B Vocabulary</w:t>
      </w:r>
    </w:p>
    <w:p>
      <w:pPr>
        <w:spacing w:after="200"/>
      </w:pPr>
      <w:r>
        <w:t xml:space="preserve">Every page must weave in these qualifying terms to capture B2B intent: high end, premium, luxury, architectural, heavy duty, commercial, contractor, specifier, trade, wholesale, OEM, distributor, dealer, spec sheet, cut sheet, ADA, soft close, automatic, fire rated.</w:t>
      </w:r>
    </w:p>
    <w:p>
      <w:pPr>
        <w:pStyle w:val="Heading1"/>
      </w:pPr>
      <w:r>
        <w:t xml:space="preserve">Implementation Recommendations</w:t>
      </w:r>
    </w:p>
    <w:p>
      <w:r>
        <w:t xml:space="preserve">1. Fix cannibalization first — consolidate overlapping URLs targeting the same keywords.</w:t>
      </w:r>
    </w:p>
    <w:p>
      <w:r>
        <w:t xml:space="preserve">2. Optimize existing ranking pages — prioritize pages with high opportunity scores.</w:t>
      </w:r>
    </w:p>
    <w:p>
      <w:r>
        <w:t xml:space="preserve">3. Build B2B hub pages — fill content gaps where 3+ competitors rank and the client has no page.</w:t>
      </w:r>
    </w:p>
    <w:p>
      <w:r>
        <w:t xml:space="preserve">4. Use mandatory B2B vocabulary on every page — trade modifiers qualify traffic for contract/architect audiences.</w:t>
      </w:r>
    </w:p>
    <w:p>
      <w:r>
        <w:t xml:space="preserve">5. Monitor GPG CPC thresholds — target $0.55 avg CPC, avoid keywords above $0.78 for initial campaigns.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SASHA Strategy Report — Cavity Sliders</dc:title>
  <dc:creator>Un-named</dc:creator>
  <dc:description>Strategic Content Opportunity &amp; 12-Month Plan</dc:description>
  <cp:lastModifiedBy>Un-named</cp:lastModifiedBy>
  <cp:revision>1</cp:revision>
  <dcterms:created xsi:type="dcterms:W3CDTF">2026-04-29T10:00:02.685Z</dcterms:created>
  <dcterms:modified xsi:type="dcterms:W3CDTF">2026-04-29T10:00:02.685Z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