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i w:val="0"/>
          <w:sz w:val="40"/>
        </w:rPr>
        <w:t>中国民航放行期间驾驶舱工作清单</w:t>
      </w:r>
    </w:p>
    <w:p>
      <w:pPr>
        <w:spacing w:after="360"/>
        <w:jc w:val="center"/>
      </w:pPr>
      <w:r>
        <w:rPr>
          <w:rFonts w:ascii="Times New Roman" w:hAnsi="Times New Roman" w:eastAsia="宋体"/>
          <w:b w:val="0"/>
          <w:i w:val="0"/>
          <w:color w:val="595959"/>
          <w:sz w:val="24"/>
        </w:rPr>
        <w:t>Cockpit Procedures during Clearance Delivery · 岗位分工与执行规范</w:t>
      </w:r>
    </w:p>
    <w:p>
      <w:pPr>
        <w:spacing w:after="80" w:line="336" w:lineRule="auto"/>
      </w:pPr>
      <w:r>
        <w:rPr>
          <w:rFonts w:ascii="Times New Roman" w:hAnsi="Times New Roman" w:eastAsia="宋体"/>
          <w:b w:val="0"/>
          <w:i w:val="0"/>
          <w:sz w:val="24"/>
        </w:rPr>
        <w:t>放行申请期间，驾驶舱的工作并非从“按下话筒”那一刻才开始的。在联系放行席之前，飞行计划、ATIS、签派放行单、FMC 和 MCP 的预设已经完成了大部分；申请通话本身只是将已准备好的信息与管制员的许可做一次核对与确认。以下按时间顺序给出从准备到移交地面的完整驾驶舱工作清单，并标注机长（Captain）与副驾驶（FO）的分工。</w:t>
      </w:r>
    </w:p>
    <w:p>
      <w:pPr>
        <w:spacing w:before="280" w:after="160"/>
      </w:pPr>
      <w:r>
        <w:rPr>
          <w:rFonts w:ascii="Times New Roman" w:hAnsi="Times New Roman" w:eastAsia="黑体"/>
          <w:b/>
          <w:i w:val="0"/>
          <w:sz w:val="30"/>
        </w:rPr>
        <w:t>第一阶段：联系放行席之前（准备与预设）</w:t>
      </w:r>
    </w:p>
    <w:p>
      <w:pPr>
        <w:spacing w:after="80" w:line="336" w:lineRule="auto"/>
      </w:pPr>
      <w:r>
        <w:rPr>
          <w:rFonts w:ascii="Times New Roman" w:hAnsi="Times New Roman" w:eastAsia="宋体"/>
          <w:b/>
          <w:i w:val="0"/>
          <w:sz w:val="24"/>
        </w:rPr>
        <w:t>本阶段目标：让驾驶舱在开口申请之前，就已经知道“应该期望收到什么”。</w:t>
      </w:r>
    </w:p>
    <w:p>
      <w:pPr>
        <w:spacing w:before="160" w:after="80"/>
      </w:pPr>
      <w:r>
        <w:rPr>
          <w:rFonts w:ascii="Times New Roman" w:hAnsi="Times New Roman" w:eastAsia="楷体"/>
          <w:b/>
          <w:i w:val="0"/>
          <w:sz w:val="25"/>
        </w:rPr>
        <w:t>1. 签派放行文件与飞行计划的确认</w:t>
      </w:r>
    </w:p>
    <w:p>
      <w:pPr>
        <w:spacing w:after="80" w:line="336" w:lineRule="auto"/>
      </w:pPr>
      <w:r>
        <w:rPr>
          <w:rFonts w:ascii="Times New Roman" w:hAnsi="Times New Roman" w:eastAsia="宋体"/>
          <w:b w:val="0"/>
          <w:i w:val="0"/>
          <w:sz w:val="24"/>
        </w:rPr>
        <w:t>机长与飞行签派员共同签署签派放行单，确认天气、飞机状况、飞行计划和油量符合安全运行标准。机组领取签派放行文件后，根据飞机状况和最新天气报告核实起飞油量。这是放行席核对飞行计划的前提——驾驶舱必须先有一个“已确认的飞行计划”，才能判断管制员发布的许可是否与之一致。</w:t>
      </w:r>
    </w:p>
    <w:p>
      <w:pPr>
        <w:spacing w:before="160" w:after="80"/>
      </w:pPr>
      <w:r>
        <w:rPr>
          <w:rFonts w:ascii="Times New Roman" w:hAnsi="Times New Roman" w:eastAsia="楷体"/>
          <w:b/>
          <w:i w:val="0"/>
          <w:sz w:val="25"/>
        </w:rPr>
        <w:t>2. ATIS 的抄收与记录</w:t>
      </w:r>
    </w:p>
    <w:p>
      <w:pPr>
        <w:spacing w:after="80" w:line="336" w:lineRule="auto"/>
      </w:pPr>
      <w:r>
        <w:rPr>
          <w:rFonts w:ascii="Times New Roman" w:hAnsi="Times New Roman" w:eastAsia="宋体"/>
          <w:b w:val="0"/>
          <w:i w:val="0"/>
          <w:sz w:val="24"/>
        </w:rPr>
        <w:t>副驾驶负责记录当时有效的 ATIS 通播代号（如 BRAVO、CHARLIE）。若 ATIS 不工作或机组未收到，需在申请时主动向放行席报告“未抄收通波”，放行席才会逐项口头提供离场情报。记录 ATIS 代号本身不是目的，目的是让机组在复诵时能判断放行席是否在发布与当前通播不一致的信息。</w:t>
      </w:r>
    </w:p>
    <w:p>
      <w:pPr>
        <w:spacing w:before="160" w:after="80"/>
      </w:pPr>
      <w:r>
        <w:rPr>
          <w:rFonts w:ascii="Times New Roman" w:hAnsi="Times New Roman" w:eastAsia="楷体"/>
          <w:b/>
          <w:i w:val="0"/>
          <w:sz w:val="25"/>
        </w:rPr>
        <w:t>3. FMC 的离场程序与航路预设</w:t>
      </w:r>
    </w:p>
    <w:p>
      <w:pPr>
        <w:spacing w:after="80" w:line="336" w:lineRule="auto"/>
      </w:pPr>
      <w:r>
        <w:rPr>
          <w:rFonts w:ascii="Times New Roman" w:hAnsi="Times New Roman" w:eastAsia="宋体"/>
          <w:b w:val="0"/>
          <w:i w:val="0"/>
          <w:sz w:val="24"/>
        </w:rPr>
        <w:t>副驾驶将离场程序（SID）和飞行计划航路输入 FMC，并将 ATC 的离场指示与 FMC 及签派放行路径进行比对确认。此步骤在申请之前完成，是为了让驾驶舱在听到放行许可时，能立刻判断“许可中的 SID 和航路”是否与已装订的 FMC 数据一致。若管制员指定了不同的 SID，机组需意识到 FMC 需要修改，而非在通话中才发现。</w:t>
      </w:r>
    </w:p>
    <w:p>
      <w:pPr>
        <w:spacing w:before="160" w:after="80"/>
      </w:pPr>
      <w:r>
        <w:rPr>
          <w:rFonts w:ascii="Times New Roman" w:hAnsi="Times New Roman" w:eastAsia="楷体"/>
          <w:b/>
          <w:i w:val="0"/>
          <w:sz w:val="25"/>
        </w:rPr>
        <w:t>4. MCP 高度窗、应答机与通信/导航波道的预设</w:t>
      </w:r>
    </w:p>
    <w:p>
      <w:pPr>
        <w:spacing w:after="80" w:line="336" w:lineRule="auto"/>
      </w:pPr>
      <w:r>
        <w:rPr>
          <w:rFonts w:ascii="Times New Roman" w:hAnsi="Times New Roman" w:eastAsia="宋体"/>
          <w:b w:val="0"/>
          <w:i w:val="0"/>
          <w:sz w:val="24"/>
        </w:rPr>
        <w:t>副驾驶将起始高度输入 MCP 高度窗（高度警告器），并预设放行席和离场频率、导航波道；机长确认应答机编码设置是否正确。这些预设的价值在于：复诵刚结束，驾驶舱就能立刻核对“听到的数值”与“已经设置的数值”是否一致。若等到复诵完再去设定，交叉检查就失去了时间窗口。</w:t>
      </w:r>
    </w:p>
    <w:p>
      <w:pPr>
        <w:spacing w:before="280" w:after="160"/>
      </w:pPr>
      <w:r>
        <w:rPr>
          <w:rFonts w:ascii="Times New Roman" w:hAnsi="Times New Roman" w:eastAsia="黑体"/>
          <w:b/>
          <w:i w:val="0"/>
          <w:sz w:val="30"/>
        </w:rPr>
        <w:t>第二阶段：联系放行席与抄收许可（核心通话窗口）</w:t>
      </w:r>
    </w:p>
    <w:p>
      <w:pPr>
        <w:spacing w:before="160" w:after="80"/>
      </w:pPr>
      <w:r>
        <w:rPr>
          <w:rFonts w:ascii="Times New Roman" w:hAnsi="Times New Roman" w:eastAsia="楷体"/>
          <w:b/>
          <w:i w:val="0"/>
          <w:sz w:val="25"/>
        </w:rPr>
        <w:t>1. 首次联系的结构与内容</w:t>
      </w:r>
    </w:p>
    <w:p>
      <w:pPr>
        <w:spacing w:after="80" w:line="336" w:lineRule="auto"/>
      </w:pPr>
      <w:r>
        <w:rPr>
          <w:rFonts w:ascii="Times New Roman" w:hAnsi="Times New Roman" w:eastAsia="宋体"/>
          <w:b w:val="0"/>
          <w:i w:val="0"/>
          <w:sz w:val="24"/>
        </w:rPr>
        <w:t>由副驾驶（或监控飞行员 PM）执行首次呼叫，结构为：放行席呼号 + 己方完整呼号 + 位置（机位）+ 机型 + ATIS 抄收状态 + 申请内容。若使用 DCL（数据链放行），请求时机通常在 TSAT（目标开车批准时间）前 20 分钟以内，由飞行员在 ACARS 或 EFB 上发起。</w:t>
      </w:r>
    </w:p>
    <w:p>
      <w:pPr>
        <w:spacing w:before="160" w:after="80"/>
      </w:pPr>
      <w:r>
        <w:rPr>
          <w:rFonts w:ascii="Times New Roman" w:hAnsi="Times New Roman" w:eastAsia="楷体"/>
          <w:b/>
          <w:i w:val="0"/>
          <w:sz w:val="25"/>
        </w:rPr>
        <w:t>2. 关键纪律：两位机组成员都要监听</w:t>
      </w:r>
    </w:p>
    <w:p>
      <w:pPr>
        <w:spacing w:after="80" w:line="336" w:lineRule="auto"/>
      </w:pPr>
      <w:r>
        <w:rPr>
          <w:rFonts w:ascii="Times New Roman" w:hAnsi="Times New Roman" w:eastAsia="宋体"/>
          <w:b w:val="0"/>
          <w:i w:val="0"/>
          <w:sz w:val="24"/>
        </w:rPr>
        <w:t>使用语音放行时，若许可是口头发布的，机长和副驾驶都要仔细聆听。这不是“礼貌性旁听”，而是双人制机组交叉检查的第一道关口——复诵由一人执行，另一人独立监听，才能在复诵出现偏差时及时发现。</w:t>
      </w:r>
    </w:p>
    <w:p>
      <w:pPr>
        <w:spacing w:before="160" w:after="80"/>
      </w:pPr>
      <w:r>
        <w:rPr>
          <w:rFonts w:ascii="Times New Roman" w:hAnsi="Times New Roman" w:eastAsia="楷体"/>
          <w:b/>
          <w:i w:val="0"/>
          <w:sz w:val="25"/>
        </w:rPr>
        <w:t>3. 抄收许可时，逐项与预设值比对</w:t>
      </w:r>
    </w:p>
    <w:p>
      <w:pPr>
        <w:spacing w:after="80" w:line="336" w:lineRule="auto"/>
      </w:pPr>
      <w:r>
        <w:rPr>
          <w:rFonts w:ascii="Times New Roman" w:hAnsi="Times New Roman" w:eastAsia="宋体"/>
          <w:b w:val="0"/>
          <w:i w:val="0"/>
          <w:sz w:val="24"/>
        </w:rPr>
        <w:t>放行许可的核心条款包括：放行界限（目的地）、离场程序（SID）、使用跑道、起始高度、应答机编码，以及修正海压（QNH）。驾驶舱在监听时，需将这些数值与 FMC 中装订的航路/SID、MCP 高度窗、应答机面板逐一对照。QNH 需与驾驶舱气压高度表基准进行比对，因为这是放行席即使机组已抄收 ATIS 也必须直接提供的刚性数值。</w:t>
      </w:r>
    </w:p>
    <w:p>
      <w:pPr>
        <w:spacing w:before="160" w:after="80"/>
      </w:pPr>
      <w:r>
        <w:rPr>
          <w:rFonts w:ascii="Times New Roman" w:hAnsi="Times New Roman" w:eastAsia="楷体"/>
          <w:b/>
          <w:i w:val="0"/>
          <w:sz w:val="25"/>
        </w:rPr>
        <w:t>4. 如果许可与预期不一致，立即提出</w:t>
      </w:r>
    </w:p>
    <w:p>
      <w:pPr>
        <w:spacing w:after="80" w:line="336" w:lineRule="auto"/>
      </w:pPr>
      <w:r>
        <w:rPr>
          <w:rFonts w:ascii="Times New Roman" w:hAnsi="Times New Roman" w:eastAsia="宋体"/>
          <w:b w:val="0"/>
          <w:i w:val="0"/>
          <w:sz w:val="24"/>
        </w:rPr>
        <w:t>若放行席发布的 SID、航路或高度与签派放行计划或 FMC 预设不一致，驾驶舱不应默默接受再自行修改，而应在复诵前或复诵后立即提出澄清。规章赋予飞行员的短语是“不能（UNABLE）”，并告知原因；若对能否执行有疑问，管制员也可能主动加一句“如果不能，通知我（IF UNABLE, ADVISE）”。</w:t>
      </w:r>
    </w:p>
    <w:p>
      <w:pPr>
        <w:spacing w:before="280" w:after="160"/>
      </w:pPr>
      <w:r>
        <w:rPr>
          <w:rFonts w:ascii="Times New Roman" w:hAnsi="Times New Roman" w:eastAsia="黑体"/>
          <w:b/>
          <w:i w:val="0"/>
          <w:sz w:val="30"/>
        </w:rPr>
        <w:t>第三阶段：复诵与交叉确认</w:t>
      </w:r>
    </w:p>
    <w:p>
      <w:pPr>
        <w:spacing w:before="160" w:after="80"/>
      </w:pPr>
      <w:r>
        <w:rPr>
          <w:rFonts w:ascii="Times New Roman" w:hAnsi="Times New Roman" w:eastAsia="楷体"/>
          <w:b/>
          <w:i w:val="0"/>
          <w:sz w:val="25"/>
        </w:rPr>
        <w:t>1. 复诵的执行与终止</w:t>
      </w:r>
    </w:p>
    <w:p>
      <w:pPr>
        <w:spacing w:after="80" w:line="336" w:lineRule="auto"/>
      </w:pPr>
      <w:r>
        <w:rPr>
          <w:rFonts w:ascii="Times New Roman" w:hAnsi="Times New Roman" w:eastAsia="宋体"/>
          <w:b w:val="0"/>
          <w:i w:val="0"/>
          <w:sz w:val="24"/>
        </w:rPr>
        <w:t>由执行通话的飞行员复诵，结构为（复诵内容）+ 己方完整呼号，不能用“收到”替代。必须覆盖的安全关键项包括：跑道、高度、应答机编码、QNH、SID 名称、离场频率。离场情报中的风向风速、能见度、云高、滑行路线不属于法定必须复诵的内容，但驾驶舱仍应记录，尤其是滑行路线——虽然通常由地面席再次给出，但提前知晓有助于滑行准备。</w:t>
      </w:r>
    </w:p>
    <w:p>
      <w:pPr>
        <w:spacing w:before="160" w:after="80"/>
      </w:pPr>
      <w:r>
        <w:rPr>
          <w:rFonts w:ascii="Times New Roman" w:hAnsi="Times New Roman" w:eastAsia="楷体"/>
          <w:b/>
          <w:i w:val="0"/>
          <w:sz w:val="25"/>
        </w:rPr>
        <w:t>2. 交叉确认的刚性要求</w:t>
      </w:r>
    </w:p>
    <w:p>
      <w:pPr>
        <w:spacing w:after="80" w:line="336" w:lineRule="auto"/>
      </w:pPr>
      <w:r>
        <w:rPr>
          <w:rFonts w:ascii="Times New Roman" w:hAnsi="Times New Roman" w:eastAsia="宋体"/>
          <w:b w:val="0"/>
          <w:i w:val="0"/>
          <w:sz w:val="24"/>
        </w:rPr>
        <w:t>复诵完成后，操作飞行员（PF）需确认 MCP、应答机、FMC 的实际设置与复诵内容一致，并向监控飞行员（PM）回报确认。例如：PM 复诵“起始高度 1200 米”，PF 确认 MCP 高度窗已设置为对应数值后回报“确认高度 1200 米”。双方对许可的理解必须达成一致，才能进入下一步。若使用 CPDLC/DCL，推荐两位飞行员各自独立阅读许可报文，再进行口头核对，而非一个人读、另一个人直接接受。</w:t>
      </w:r>
    </w:p>
    <w:p>
      <w:pPr>
        <w:spacing w:before="160" w:after="80"/>
      </w:pPr>
      <w:r>
        <w:rPr>
          <w:rFonts w:ascii="Times New Roman" w:hAnsi="Times New Roman" w:eastAsia="楷体"/>
          <w:b/>
          <w:i w:val="0"/>
          <w:sz w:val="25"/>
        </w:rPr>
        <w:t>3. DCL 场景下的“接受”动作</w:t>
      </w:r>
    </w:p>
    <w:p>
      <w:pPr>
        <w:spacing w:after="80" w:line="336" w:lineRule="auto"/>
      </w:pPr>
      <w:r>
        <w:rPr>
          <w:rFonts w:ascii="Times New Roman" w:hAnsi="Times New Roman" w:eastAsia="宋体"/>
          <w:b w:val="0"/>
          <w:i w:val="0"/>
          <w:sz w:val="24"/>
        </w:rPr>
        <w:t>若使用数据链放行，收到 CLD（放行上行报文）后，飞行员应在 5 分钟内选择“ACCEPT”以确认许可。该动作在系统层面等同于语音复诵的确认，但驾驶舱内部仍需完成 MCP/FMC 的交叉检查，不能因按了“接受”就跳过预设值的核对。</w:t>
      </w:r>
    </w:p>
    <w:p>
      <w:pPr>
        <w:spacing w:before="280" w:after="160"/>
      </w:pPr>
      <w:r>
        <w:rPr>
          <w:rFonts w:ascii="Times New Roman" w:hAnsi="Times New Roman" w:eastAsia="黑体"/>
          <w:b/>
          <w:i w:val="0"/>
          <w:sz w:val="30"/>
        </w:rPr>
        <w:t>第四阶段：许可修改或异常情况的处置</w:t>
      </w:r>
    </w:p>
    <w:p>
      <w:pPr>
        <w:spacing w:before="160" w:after="80"/>
      </w:pPr>
      <w:r>
        <w:rPr>
          <w:rFonts w:ascii="Times New Roman" w:hAnsi="Times New Roman" w:eastAsia="楷体"/>
          <w:b/>
          <w:i w:val="0"/>
          <w:sz w:val="25"/>
        </w:rPr>
        <w:t>1. 许可需要修改时，必须重新完整发布和完整复诵</w:t>
      </w:r>
    </w:p>
    <w:p>
      <w:pPr>
        <w:spacing w:after="80" w:line="336" w:lineRule="auto"/>
      </w:pPr>
      <w:r>
        <w:rPr>
          <w:rFonts w:ascii="Times New Roman" w:hAnsi="Times New Roman" w:eastAsia="宋体"/>
          <w:b w:val="0"/>
          <w:i w:val="0"/>
          <w:sz w:val="24"/>
        </w:rPr>
        <w:t>若放行席需要修改已发布的许可（例如更换跑道、更改 SID、调整起始高度），不能只让机组记住“改动的那一项”。管制员应重新发布完整许可，机组重新完整复诵。驾驶舱不能自行将新旧内容拼接，因为拼接过程本身就可能引入新的错误。</w:t>
      </w:r>
    </w:p>
    <w:p>
      <w:pPr>
        <w:spacing w:before="160" w:after="80"/>
      </w:pPr>
      <w:r>
        <w:rPr>
          <w:rFonts w:ascii="Times New Roman" w:hAnsi="Times New Roman" w:eastAsia="楷体"/>
          <w:b/>
          <w:i w:val="0"/>
          <w:sz w:val="25"/>
        </w:rPr>
        <w:t>2. DCL 的局限</w:t>
      </w:r>
    </w:p>
    <w:p>
      <w:pPr>
        <w:spacing w:after="80" w:line="336" w:lineRule="auto"/>
      </w:pPr>
      <w:r>
        <w:rPr>
          <w:rFonts w:ascii="Times New Roman" w:hAnsi="Times New Roman" w:eastAsia="宋体"/>
          <w:b w:val="0"/>
          <w:i w:val="0"/>
          <w:sz w:val="24"/>
        </w:rPr>
        <w:t>数据链放行通常不提供许可修改；任何修改都需要转回语音通信进行。若 DCL 报文被系统拒绝（如“RCD REJECTED, REVERT TO VOICE PROCEDURES”），机组应切换至语音频率重新申请。</w:t>
      </w:r>
    </w:p>
    <w:p>
      <w:pPr>
        <w:spacing w:before="160" w:after="80"/>
      </w:pPr>
      <w:r>
        <w:rPr>
          <w:rFonts w:ascii="Times New Roman" w:hAnsi="Times New Roman" w:eastAsia="楷体"/>
          <w:b/>
          <w:i w:val="0"/>
          <w:sz w:val="25"/>
        </w:rPr>
        <w:t>3. 复诵错误的拦截</w:t>
      </w:r>
    </w:p>
    <w:p>
      <w:pPr>
        <w:spacing w:after="80" w:line="336" w:lineRule="auto"/>
      </w:pPr>
      <w:r>
        <w:rPr>
          <w:rFonts w:ascii="Times New Roman" w:hAnsi="Times New Roman" w:eastAsia="宋体"/>
          <w:b w:val="0"/>
          <w:i w:val="0"/>
          <w:sz w:val="24"/>
        </w:rPr>
        <w:t>若管制员指出复诵错误并给出正确内容，机组必须重新复诵完整的安全关键项，而不是只确认“改的那一项”。驾驶舱内部同样需要重新完成 MCP/应答机的交叉确认。</w:t>
      </w:r>
    </w:p>
    <w:p>
      <w:pPr>
        <w:spacing w:before="280" w:after="160"/>
      </w:pPr>
      <w:r>
        <w:rPr>
          <w:rFonts w:ascii="Times New Roman" w:hAnsi="Times New Roman" w:eastAsia="黑体"/>
          <w:b/>
          <w:i w:val="0"/>
          <w:sz w:val="30"/>
        </w:rPr>
        <w:t>第五阶段：完成放行，移交地面</w:t>
      </w:r>
    </w:p>
    <w:p>
      <w:pPr>
        <w:spacing w:after="80" w:line="336" w:lineRule="auto"/>
      </w:pPr>
      <w:r>
        <w:rPr>
          <w:rFonts w:ascii="Times New Roman" w:hAnsi="Times New Roman" w:eastAsia="宋体"/>
          <w:b w:val="0"/>
          <w:i w:val="0"/>
          <w:sz w:val="24"/>
        </w:rPr>
        <w:t>放行席确认复诵正确后，会给出频率移交指令（如“联系地面 121.85”）。驾驶舱复诵移交指令，将通信频率切换至地面席，放行申请阶段结束。后续的推出、开车和滑行由地面席接管。此时驾驶舱的状态为：FMC 中已装订正确的离场程序和航路，MCP 高度窗已设定起始高度，应答机已设定正确编码，气压基准已按 QNH 调定，两位飞行员对许可内容的理解完全一致。</w:t>
      </w:r>
    </w:p>
    <w:p>
      <w:pPr>
        <w:spacing w:before="280" w:after="160"/>
      </w:pPr>
      <w:r>
        <w:rPr>
          <w:rFonts w:ascii="Times New Roman" w:hAnsi="Times New Roman" w:eastAsia="黑体"/>
          <w:b/>
          <w:i w:val="0"/>
          <w:sz w:val="30"/>
        </w:rPr>
        <w:t>附：双人制机组分工速查</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spacing w:after="40"/>
            </w:pPr>
            <w:r/>
            <w:r>
              <w:rPr>
                <w:rFonts w:ascii="Times New Roman" w:hAnsi="Times New Roman" w:eastAsia="宋体"/>
                <w:b/>
                <w:i w:val="0"/>
                <w:sz w:val="22"/>
              </w:rPr>
              <w:t>环节</w:t>
            </w:r>
          </w:p>
        </w:tc>
        <w:tc>
          <w:tcPr>
            <w:tcW w:type="dxa" w:w="2882"/>
          </w:tcPr>
          <w:p>
            <w:pPr>
              <w:spacing w:after="40"/>
            </w:pPr>
            <w:r/>
            <w:r>
              <w:rPr>
                <w:rFonts w:ascii="Times New Roman" w:hAnsi="Times New Roman" w:eastAsia="宋体"/>
                <w:b/>
                <w:i w:val="0"/>
                <w:sz w:val="22"/>
              </w:rPr>
              <w:t>机长（Captain / PF）</w:t>
            </w:r>
          </w:p>
        </w:tc>
        <w:tc>
          <w:tcPr>
            <w:tcW w:type="dxa" w:w="2882"/>
          </w:tcPr>
          <w:p>
            <w:pPr>
              <w:spacing w:after="40"/>
            </w:pPr>
            <w:r/>
            <w:r>
              <w:rPr>
                <w:rFonts w:ascii="Times New Roman" w:hAnsi="Times New Roman" w:eastAsia="宋体"/>
                <w:b/>
                <w:i w:val="0"/>
                <w:sz w:val="22"/>
              </w:rPr>
              <w:t>副驾驶（FO / PM）</w:t>
            </w:r>
          </w:p>
        </w:tc>
      </w:tr>
      <w:tr>
        <w:tc>
          <w:tcPr>
            <w:tcW w:type="dxa" w:w="2882"/>
          </w:tcPr>
          <w:p>
            <w:pPr>
              <w:spacing w:after="40"/>
            </w:pPr>
            <w:r/>
            <w:r>
              <w:rPr>
                <w:rFonts w:ascii="Times New Roman" w:hAnsi="Times New Roman" w:eastAsia="宋体"/>
                <w:b/>
                <w:i w:val="0"/>
                <w:sz w:val="22"/>
              </w:rPr>
              <w:t>签派放行单</w:t>
            </w:r>
          </w:p>
        </w:tc>
        <w:tc>
          <w:tcPr>
            <w:tcW w:type="dxa" w:w="2882"/>
          </w:tcPr>
          <w:p>
            <w:pPr>
              <w:spacing w:after="40"/>
            </w:pPr>
            <w:r/>
            <w:r>
              <w:rPr>
                <w:rFonts w:ascii="Times New Roman" w:hAnsi="Times New Roman" w:eastAsia="宋体"/>
                <w:b w:val="0"/>
                <w:i w:val="0"/>
                <w:sz w:val="22"/>
              </w:rPr>
              <w:t>与签派员共同签署，确认安全运行</w:t>
            </w:r>
          </w:p>
        </w:tc>
        <w:tc>
          <w:tcPr>
            <w:tcW w:type="dxa" w:w="2882"/>
          </w:tcPr>
          <w:p>
            <w:pPr>
              <w:spacing w:after="40"/>
            </w:pPr>
            <w:r/>
            <w:r>
              <w:rPr>
                <w:rFonts w:ascii="Times New Roman" w:hAnsi="Times New Roman" w:eastAsia="宋体"/>
                <w:b w:val="0"/>
                <w:i w:val="0"/>
                <w:sz w:val="22"/>
              </w:rPr>
              <w:t>—</w:t>
            </w:r>
          </w:p>
        </w:tc>
      </w:tr>
      <w:tr>
        <w:tc>
          <w:tcPr>
            <w:tcW w:type="dxa" w:w="2882"/>
          </w:tcPr>
          <w:p>
            <w:pPr>
              <w:spacing w:after="40"/>
            </w:pPr>
            <w:r/>
            <w:r>
              <w:rPr>
                <w:rFonts w:ascii="Times New Roman" w:hAnsi="Times New Roman" w:eastAsia="宋体"/>
                <w:b/>
                <w:i w:val="0"/>
                <w:sz w:val="22"/>
              </w:rPr>
              <w:t>ATIS</w:t>
            </w:r>
          </w:p>
        </w:tc>
        <w:tc>
          <w:tcPr>
            <w:tcW w:type="dxa" w:w="2882"/>
          </w:tcPr>
          <w:p>
            <w:pPr>
              <w:spacing w:after="40"/>
            </w:pPr>
            <w:r/>
            <w:r>
              <w:rPr>
                <w:rFonts w:ascii="Times New Roman" w:hAnsi="Times New Roman" w:eastAsia="宋体"/>
                <w:b w:val="0"/>
                <w:i w:val="0"/>
                <w:sz w:val="22"/>
              </w:rPr>
              <w:t>—</w:t>
            </w:r>
          </w:p>
        </w:tc>
        <w:tc>
          <w:tcPr>
            <w:tcW w:type="dxa" w:w="2882"/>
          </w:tcPr>
          <w:p>
            <w:pPr>
              <w:spacing w:after="40"/>
            </w:pPr>
            <w:r/>
            <w:r>
              <w:rPr>
                <w:rFonts w:ascii="Times New Roman" w:hAnsi="Times New Roman" w:eastAsia="宋体"/>
                <w:b w:val="0"/>
                <w:i w:val="0"/>
                <w:sz w:val="22"/>
              </w:rPr>
              <w:t>记录有效通波代号</w:t>
            </w:r>
          </w:p>
        </w:tc>
      </w:tr>
      <w:tr>
        <w:tc>
          <w:tcPr>
            <w:tcW w:type="dxa" w:w="2882"/>
          </w:tcPr>
          <w:p>
            <w:pPr>
              <w:spacing w:after="40"/>
            </w:pPr>
            <w:r/>
            <w:r>
              <w:rPr>
                <w:rFonts w:ascii="Times New Roman" w:hAnsi="Times New Roman" w:eastAsia="宋体"/>
                <w:b/>
                <w:i w:val="0"/>
                <w:sz w:val="22"/>
              </w:rPr>
              <w:t>FMC / MCP 预设</w:t>
            </w:r>
          </w:p>
        </w:tc>
        <w:tc>
          <w:tcPr>
            <w:tcW w:type="dxa" w:w="2882"/>
          </w:tcPr>
          <w:p>
            <w:pPr>
              <w:spacing w:after="40"/>
            </w:pPr>
            <w:r/>
            <w:r>
              <w:rPr>
                <w:rFonts w:ascii="Times New Roman" w:hAnsi="Times New Roman" w:eastAsia="宋体"/>
                <w:b w:val="0"/>
                <w:i w:val="0"/>
                <w:sz w:val="22"/>
              </w:rPr>
              <w:t>检查应答机、确认高度</w:t>
            </w:r>
          </w:p>
        </w:tc>
        <w:tc>
          <w:tcPr>
            <w:tcW w:type="dxa" w:w="2882"/>
          </w:tcPr>
          <w:p>
            <w:pPr>
              <w:spacing w:after="40"/>
            </w:pPr>
            <w:r/>
            <w:r>
              <w:rPr>
                <w:rFonts w:ascii="Times New Roman" w:hAnsi="Times New Roman" w:eastAsia="宋体"/>
                <w:b w:val="0"/>
                <w:i w:val="0"/>
                <w:sz w:val="22"/>
              </w:rPr>
              <w:t>输入 SID/航路，设定 MCP 高度窗、通信/导航波道</w:t>
            </w:r>
          </w:p>
        </w:tc>
      </w:tr>
      <w:tr>
        <w:tc>
          <w:tcPr>
            <w:tcW w:type="dxa" w:w="2882"/>
          </w:tcPr>
          <w:p>
            <w:pPr>
              <w:spacing w:after="40"/>
            </w:pPr>
            <w:r/>
            <w:r>
              <w:rPr>
                <w:rFonts w:ascii="Times New Roman" w:hAnsi="Times New Roman" w:eastAsia="宋体"/>
                <w:b/>
                <w:i w:val="0"/>
                <w:sz w:val="22"/>
              </w:rPr>
              <w:t>监听许可</w:t>
            </w:r>
          </w:p>
        </w:tc>
        <w:tc>
          <w:tcPr>
            <w:tcW w:type="dxa" w:w="2882"/>
          </w:tcPr>
          <w:p>
            <w:pPr>
              <w:spacing w:after="40"/>
            </w:pPr>
            <w:r/>
            <w:r>
              <w:rPr>
                <w:rFonts w:ascii="Times New Roman" w:hAnsi="Times New Roman" w:eastAsia="宋体"/>
                <w:b w:val="0"/>
                <w:i w:val="0"/>
                <w:sz w:val="22"/>
              </w:rPr>
              <w:t>仔细聆听（语音放行时）</w:t>
            </w:r>
          </w:p>
        </w:tc>
        <w:tc>
          <w:tcPr>
            <w:tcW w:type="dxa" w:w="2882"/>
          </w:tcPr>
          <w:p>
            <w:pPr>
              <w:spacing w:after="40"/>
            </w:pPr>
            <w:r/>
            <w:r>
              <w:rPr>
                <w:rFonts w:ascii="Times New Roman" w:hAnsi="Times New Roman" w:eastAsia="宋体"/>
                <w:b w:val="0"/>
                <w:i w:val="0"/>
                <w:sz w:val="22"/>
              </w:rPr>
              <w:t>仔细聆听，执行首次联系与复诵</w:t>
            </w:r>
          </w:p>
        </w:tc>
      </w:tr>
      <w:tr>
        <w:tc>
          <w:tcPr>
            <w:tcW w:type="dxa" w:w="2882"/>
          </w:tcPr>
          <w:p>
            <w:pPr>
              <w:spacing w:after="40"/>
            </w:pPr>
            <w:r/>
            <w:r>
              <w:rPr>
                <w:rFonts w:ascii="Times New Roman" w:hAnsi="Times New Roman" w:eastAsia="宋体"/>
                <w:b/>
                <w:i w:val="0"/>
                <w:sz w:val="22"/>
              </w:rPr>
              <w:t>交叉确认</w:t>
            </w:r>
          </w:p>
        </w:tc>
        <w:tc>
          <w:tcPr>
            <w:tcW w:type="dxa" w:w="2882"/>
          </w:tcPr>
          <w:p>
            <w:pPr>
              <w:spacing w:after="40"/>
            </w:pPr>
            <w:r/>
            <w:r>
              <w:rPr>
                <w:rFonts w:ascii="Times New Roman" w:hAnsi="Times New Roman" w:eastAsia="宋体"/>
                <w:b w:val="0"/>
                <w:i w:val="0"/>
                <w:sz w:val="22"/>
              </w:rPr>
              <w:t>确认 MCP/应答机实际设置与复诵一致，向 PM 回报</w:t>
            </w:r>
          </w:p>
        </w:tc>
        <w:tc>
          <w:tcPr>
            <w:tcW w:type="dxa" w:w="2882"/>
          </w:tcPr>
          <w:p>
            <w:pPr>
              <w:spacing w:after="40"/>
            </w:pPr>
            <w:r/>
            <w:r>
              <w:rPr>
                <w:rFonts w:ascii="Times New Roman" w:hAnsi="Times New Roman" w:eastAsia="宋体"/>
                <w:b w:val="0"/>
                <w:i w:val="0"/>
                <w:sz w:val="22"/>
              </w:rPr>
              <w:t>复诵，确认 PF 的回报</w:t>
            </w:r>
          </w:p>
        </w:tc>
      </w:tr>
      <w:tr>
        <w:tc>
          <w:tcPr>
            <w:tcW w:type="dxa" w:w="2882"/>
          </w:tcPr>
          <w:p>
            <w:pPr>
              <w:spacing w:after="40"/>
            </w:pPr>
            <w:r/>
            <w:r>
              <w:rPr>
                <w:rFonts w:ascii="Times New Roman" w:hAnsi="Times New Roman" w:eastAsia="宋体"/>
                <w:b/>
                <w:i w:val="0"/>
                <w:sz w:val="22"/>
              </w:rPr>
              <w:t>异常处置</w:t>
            </w:r>
          </w:p>
        </w:tc>
        <w:tc>
          <w:tcPr>
            <w:tcW w:type="dxa" w:w="2882"/>
          </w:tcPr>
          <w:p>
            <w:pPr>
              <w:spacing w:after="40"/>
            </w:pPr>
            <w:r/>
            <w:r>
              <w:rPr>
                <w:rFonts w:ascii="Times New Roman" w:hAnsi="Times New Roman" w:eastAsia="宋体"/>
                <w:b w:val="0"/>
                <w:i w:val="0"/>
                <w:sz w:val="22"/>
              </w:rPr>
              <w:t>判断能否执行，提出 UNABLE 或澄清</w:t>
            </w:r>
          </w:p>
        </w:tc>
        <w:tc>
          <w:tcPr>
            <w:tcW w:type="dxa" w:w="2882"/>
          </w:tcPr>
          <w:p>
            <w:pPr>
              <w:spacing w:after="40"/>
            </w:pPr>
            <w:r/>
            <w:r>
              <w:rPr>
                <w:rFonts w:ascii="Times New Roman" w:hAnsi="Times New Roman" w:eastAsia="宋体"/>
                <w:b w:val="0"/>
                <w:i w:val="0"/>
                <w:sz w:val="22"/>
              </w:rPr>
              <w:t>重新装订 FMC / 重新设定</w:t>
            </w:r>
          </w:p>
        </w:tc>
      </w:tr>
    </w:tbl>
    <w:p>
      <w:pPr>
        <w:spacing w:before="240" w:line="336" w:lineRule="auto"/>
      </w:pPr>
      <w:r>
        <w:rPr>
          <w:rFonts w:ascii="Times New Roman" w:hAnsi="Times New Roman" w:eastAsia="宋体"/>
          <w:b/>
          <w:i w:val="0"/>
          <w:sz w:val="24"/>
        </w:rPr>
        <w:t>放行申请期间驾驶舱工作的核心，不在于“把话说完”，而在于开口之前就已准备好比对基准，复诵之后通过交叉确认确保许可被完整、准确地转化为飞机的实际设置。语音通话是最后一道确认关口，而不是唯一的工作环节。</w:t>
      </w:r>
    </w:p>
    <w:p>
      <w:pPr>
        <w:jc w:val="left"/>
      </w:pPr>
      <w:r>
        <w:rPr>
          <w:b w:val="0"/>
          <w:i w:val="0"/>
          <w:color w:val="999999"/>
        </w:rPr>
        <w:t>（内容由AI生成，仅供参考）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e1f361622ec39c10f352cad7e10505c6_445c1713cce811f1b76f525400638852","ReservedCode1":"Mt+McIki4zbPy5lJEiJ3YFwNy5XDWDZN3le0xspmuZg2jhdfoYqBP0nmgkYzaGYxXx17jHSGlUWEWafDvtLc+vpRAV1xnSOKVxQ9VrJAFTG93o4ip8tmRVcrRYYeS47EsfrASDtof5JqJdT078hvg1n096Y8BDYxoMRM+/3H9cHmhKmHasuXY8pluBg=","ContentPropagator":"001191440300708461136T1XGW3","PropagateID":"e1f361622ec39c10f352cad7e10505c6_445c1713cce811f1b76f525400638852","ReservedCode2":"Mt+McIki4zbPy5lJEiJ3YFwNy5XDWDZN3le0xspmuZg2jhdfoYqBP0nmgkYzaGYxXx17jHSGlUWEWafDvtLc+vpRAV1xnSOKVxQ9VrJAFTG93o4ip8tmRVcrRYYeS47EsfrASDtof5JqJdT078hvg1n096Y8BDYxoMRM+/3H9cHmhKmHasuXY8pluBg="}</vt:lpwstr>
  </property>
</Properties>
</file>