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sz w:val="44"/>
        </w:rPr>
        <w:t>中国民航管制放行席工作清单</w:t>
      </w:r>
    </w:p>
    <w:p>
      <w:pPr>
        <w:spacing w:after="360"/>
        <w:jc w:val="center"/>
      </w:pPr>
      <w:r>
        <w:rPr>
          <w:rFonts w:ascii="Times New Roman" w:hAnsi="Times New Roman" w:eastAsia="宋体"/>
          <w:b w:val="0"/>
          <w:color w:val="595959"/>
          <w:sz w:val="24"/>
        </w:rPr>
        <w:t>Clearance Delivery · 岗位运行工作规范</w:t>
      </w:r>
    </w:p>
    <w:p>
      <w:pPr>
        <w:spacing w:after="80" w:line="336" w:lineRule="auto"/>
      </w:pPr>
      <w:r>
        <w:rPr>
          <w:rFonts w:ascii="Times New Roman" w:hAnsi="Times New Roman" w:eastAsia="宋体"/>
          <w:b w:val="0"/>
          <w:sz w:val="24"/>
        </w:rPr>
        <w:t>放行管制席（Clearance Delivery，CD）负责向出港航空器发布 IFR（仪表飞行规则）放行许可，是塔台管制运行链条中连接飞行计划处理与地面滑行运行的关键环节。本清单按真实运行流程编制，覆盖放行前准备、放行许可发布、放行后核对移交及贯穿全过程的协调处置四大模块。</w:t>
      </w:r>
    </w:p>
    <w:p>
      <w:pPr>
        <w:spacing w:before="280" w:after="160"/>
      </w:pPr>
      <w:r>
        <w:rPr>
          <w:rFonts w:ascii="Times New Roman" w:hAnsi="Times New Roman" w:eastAsia="黑体"/>
          <w:b/>
          <w:sz w:val="30"/>
        </w:rPr>
        <w:t>一、放行前准备</w:t>
      </w:r>
    </w:p>
    <w:p>
      <w:pPr>
        <w:spacing w:before="160" w:after="80"/>
      </w:pPr>
      <w:r>
        <w:rPr>
          <w:rFonts w:ascii="Times New Roman" w:hAnsi="Times New Roman" w:eastAsia="楷体"/>
          <w:b/>
          <w:sz w:val="25"/>
        </w:rPr>
        <w:t>1. 审查飞行计划</w:t>
      </w:r>
    </w:p>
    <w:p>
      <w:pPr>
        <w:spacing w:after="80" w:line="336" w:lineRule="auto"/>
        <w:ind w:firstLine="480"/>
      </w:pPr>
      <w:r>
        <w:rPr>
          <w:rFonts w:ascii="Times New Roman" w:hAnsi="Times New Roman" w:eastAsia="宋体"/>
          <w:b w:val="0"/>
          <w:sz w:val="24"/>
        </w:rPr>
        <w:t>核对飞行计划各项要素的完整性与一致性，包括：起降机场、航路、机型与尾流类别、备降场、起飞重量、续航时间等。同时检查计划航路与当前有效的航路结构、管制单位间协议是否一致。发现不符项，应先修正计划，再实施放行。</w:t>
      </w:r>
    </w:p>
    <w:p>
      <w:pPr>
        <w:spacing w:before="160" w:after="80"/>
      </w:pPr>
      <w:r>
        <w:rPr>
          <w:rFonts w:ascii="Times New Roman" w:hAnsi="Times New Roman" w:eastAsia="楷体"/>
          <w:b/>
          <w:sz w:val="25"/>
        </w:rPr>
        <w:t>2. 处理协同放行时间</w:t>
      </w:r>
    </w:p>
    <w:p>
      <w:pPr>
        <w:spacing w:after="80" w:line="336" w:lineRule="auto"/>
        <w:ind w:firstLine="480"/>
      </w:pPr>
      <w:r>
        <w:rPr>
          <w:rFonts w:ascii="Times New Roman" w:hAnsi="Times New Roman" w:eastAsia="宋体"/>
          <w:b w:val="0"/>
          <w:sz w:val="24"/>
        </w:rPr>
        <w:t>利用 CDM（协同决策）系统给出的计算起飞时间（CTOT）为出港航班排序；参考实际关舱门时间，综合流量限制与航路拥堵情况调整放飞顺序。未接入 CDM 时，自行协调进近或区域管制单位获取放飞间隔。</w:t>
      </w:r>
    </w:p>
    <w:p>
      <w:pPr>
        <w:spacing w:before="160" w:after="80"/>
      </w:pPr>
      <w:r>
        <w:rPr>
          <w:rFonts w:ascii="Times New Roman" w:hAnsi="Times New Roman" w:eastAsia="楷体"/>
          <w:b/>
          <w:sz w:val="25"/>
        </w:rPr>
        <w:t>3. 更新 ATIS 通播</w:t>
      </w:r>
    </w:p>
    <w:p>
      <w:pPr>
        <w:spacing w:after="80" w:line="336" w:lineRule="auto"/>
        <w:ind w:firstLine="480"/>
      </w:pPr>
      <w:r>
        <w:rPr>
          <w:rFonts w:ascii="Times New Roman" w:hAnsi="Times New Roman" w:eastAsia="宋体"/>
          <w:b w:val="0"/>
          <w:sz w:val="24"/>
        </w:rPr>
        <w:t>按时更新机场自动终端情报服务（ATIS）通播，正常情况下至少每小时一次；天气或运行条件发生显著变化时，立即发布特殊通播。ATIS 不可用时，代理通报本场天气实况。</w:t>
      </w:r>
    </w:p>
    <w:p>
      <w:pPr>
        <w:spacing w:before="160" w:after="80"/>
      </w:pPr>
      <w:r>
        <w:rPr>
          <w:rFonts w:ascii="Times New Roman" w:hAnsi="Times New Roman" w:eastAsia="楷体"/>
          <w:b/>
          <w:sz w:val="25"/>
        </w:rPr>
        <w:t>4. 整理进程单</w:t>
      </w:r>
    </w:p>
    <w:p>
      <w:pPr>
        <w:spacing w:after="80" w:line="336" w:lineRule="auto"/>
        <w:ind w:firstLine="480"/>
      </w:pPr>
      <w:r>
        <w:rPr>
          <w:rFonts w:ascii="Times New Roman" w:hAnsi="Times New Roman" w:eastAsia="宋体"/>
          <w:b w:val="0"/>
          <w:sz w:val="24"/>
        </w:rPr>
        <w:t>确保电子进程单反映最新状态：航路、高度、应答机编码与飞行计划一致；收到航路修订信息时，同步更新进程单并作相应标记。</w:t>
      </w:r>
    </w:p>
    <w:p>
      <w:pPr>
        <w:spacing w:before="280" w:after="160"/>
      </w:pPr>
      <w:r>
        <w:rPr>
          <w:rFonts w:ascii="Times New Roman" w:hAnsi="Times New Roman" w:eastAsia="黑体"/>
          <w:b/>
          <w:sz w:val="30"/>
        </w:rPr>
        <w:t>二、发布放行许可</w:t>
      </w:r>
    </w:p>
    <w:p>
      <w:pPr>
        <w:spacing w:after="80" w:line="336" w:lineRule="auto"/>
      </w:pPr>
      <w:r>
        <w:rPr>
          <w:rFonts w:ascii="Times New Roman" w:hAnsi="Times New Roman" w:eastAsia="宋体"/>
          <w:b w:val="0"/>
          <w:sz w:val="24"/>
        </w:rPr>
        <w:t>发布放行许可是放行席最核心的工作。一份完整的 IFR 放行许可应包含以下要素：</w:t>
      </w:r>
    </w:p>
    <w:p>
      <w:pPr>
        <w:spacing w:after="60" w:line="336" w:lineRule="auto"/>
        <w:ind w:left="480"/>
      </w:pPr>
      <w:r>
        <w:rPr>
          <w:rFonts w:ascii="Times New Roman" w:hAnsi="Times New Roman" w:eastAsia="宋体"/>
          <w:b w:val="0"/>
          <w:sz w:val="24"/>
        </w:rPr>
        <w:t>航空器呼号（Callsign）</w:t>
      </w:r>
    </w:p>
    <w:p>
      <w:pPr>
        <w:spacing w:after="60" w:line="336" w:lineRule="auto"/>
        <w:ind w:left="480"/>
      </w:pPr>
      <w:r>
        <w:rPr>
          <w:rFonts w:ascii="Times New Roman" w:hAnsi="Times New Roman" w:eastAsia="宋体"/>
          <w:b w:val="0"/>
          <w:sz w:val="24"/>
        </w:rPr>
        <w:t>放行界限：通常为目的地机场或指定定位点</w:t>
      </w:r>
    </w:p>
    <w:p>
      <w:pPr>
        <w:spacing w:after="60" w:line="336" w:lineRule="auto"/>
        <w:ind w:left="480"/>
      </w:pPr>
      <w:r>
        <w:rPr>
          <w:rFonts w:ascii="Times New Roman" w:hAnsi="Times New Roman" w:eastAsia="宋体"/>
          <w:b w:val="0"/>
          <w:sz w:val="24"/>
        </w:rPr>
        <w:t>标准离场程序（SID）：指定所使用的离场程序；无适用 SID 时，以起飞后的航向和高度作为替代指令</w:t>
      </w:r>
    </w:p>
    <w:p>
      <w:pPr>
        <w:spacing w:after="60" w:line="336" w:lineRule="auto"/>
        <w:ind w:left="480"/>
      </w:pPr>
      <w:r>
        <w:rPr>
          <w:rFonts w:ascii="Times New Roman" w:hAnsi="Times New Roman" w:eastAsia="宋体"/>
          <w:b w:val="0"/>
          <w:sz w:val="24"/>
        </w:rPr>
        <w:t>初始高度指令：如“按 SID 爬升”、“按 SID 爬升但保持某高度”，或直接指定保持高度</w:t>
      </w:r>
    </w:p>
    <w:p>
      <w:pPr>
        <w:spacing w:after="60" w:line="336" w:lineRule="auto"/>
        <w:ind w:left="480"/>
      </w:pPr>
      <w:r>
        <w:rPr>
          <w:rFonts w:ascii="Times New Roman" w:hAnsi="Times New Roman" w:eastAsia="宋体"/>
          <w:b w:val="0"/>
          <w:sz w:val="24"/>
        </w:rPr>
        <w:t>应答机编码：四位八进制编码</w:t>
      </w:r>
    </w:p>
    <w:p>
      <w:pPr>
        <w:spacing w:after="60" w:line="336" w:lineRule="auto"/>
        <w:ind w:left="480"/>
      </w:pPr>
      <w:r>
        <w:rPr>
          <w:rFonts w:ascii="Times New Roman" w:hAnsi="Times New Roman" w:eastAsia="宋体"/>
          <w:b w:val="0"/>
          <w:sz w:val="24"/>
        </w:rPr>
        <w:t>离场频率 / 后续管制单位（如需要）</w:t>
      </w:r>
    </w:p>
    <w:p>
      <w:pPr>
        <w:spacing w:after="60" w:line="336" w:lineRule="auto"/>
        <w:ind w:left="480"/>
      </w:pPr>
      <w:r>
        <w:rPr>
          <w:rFonts w:ascii="Times New Roman" w:hAnsi="Times New Roman" w:eastAsia="宋体"/>
          <w:b w:val="0"/>
          <w:sz w:val="24"/>
        </w:rPr>
        <w:t>其他情报：离场后转弯方向、速度限制、预计可用高度等</w:t>
      </w:r>
    </w:p>
    <w:p>
      <w:pPr>
        <w:spacing w:after="80" w:line="336" w:lineRule="auto"/>
        <w:ind w:firstLine="480"/>
      </w:pPr>
      <w:r>
        <w:rPr>
          <w:rFonts w:ascii="Times New Roman" w:hAnsi="Times New Roman" w:eastAsia="宋体"/>
          <w:b w:val="0"/>
          <w:sz w:val="24"/>
        </w:rPr>
        <w:t>若飞行员未通过 ATIS 获取离场情报，放行席应一并通报：使用跑道、风向风速、能见度、高度表拨正值、滑行路线、跑道视程、低空风切变警告等。即使飞行员已收到 ATIS，高度表拨正值仍必须由管制单位提供。</w:t>
      </w:r>
    </w:p>
    <w:p>
      <w:pPr>
        <w:spacing w:before="280" w:after="160"/>
      </w:pPr>
      <w:r>
        <w:rPr>
          <w:rFonts w:ascii="Times New Roman" w:hAnsi="Times New Roman" w:eastAsia="黑体"/>
          <w:b/>
          <w:sz w:val="30"/>
        </w:rPr>
        <w:t>三、放行后核对与移交</w:t>
      </w:r>
    </w:p>
    <w:p>
      <w:pPr>
        <w:spacing w:before="160" w:after="80"/>
      </w:pPr>
      <w:r>
        <w:rPr>
          <w:rFonts w:ascii="Times New Roman" w:hAnsi="Times New Roman" w:eastAsia="楷体"/>
          <w:b/>
          <w:sz w:val="25"/>
        </w:rPr>
        <w:t>1. 核对复诵</w:t>
      </w:r>
    </w:p>
    <w:p>
      <w:pPr>
        <w:spacing w:after="80" w:line="336" w:lineRule="auto"/>
        <w:ind w:firstLine="480"/>
      </w:pPr>
      <w:r>
        <w:rPr>
          <w:rFonts w:ascii="Times New Roman" w:hAnsi="Times New Roman" w:eastAsia="宋体"/>
          <w:b w:val="0"/>
          <w:sz w:val="24"/>
        </w:rPr>
        <w:t>飞行员必须复诵放行许可中的关键内容，航路许可属于必须复诵的项目。采用数据链放行（DCL）时，应等待飞行员回复确认报文，确认无误后方可视为放行完成。</w:t>
      </w:r>
    </w:p>
    <w:p>
      <w:pPr>
        <w:spacing w:before="160" w:after="80"/>
      </w:pPr>
      <w:r>
        <w:rPr>
          <w:rFonts w:ascii="Times New Roman" w:hAnsi="Times New Roman" w:eastAsia="楷体"/>
          <w:b/>
          <w:sz w:val="25"/>
        </w:rPr>
        <w:t>2. 移交地面席</w:t>
      </w:r>
    </w:p>
    <w:p>
      <w:pPr>
        <w:spacing w:after="80" w:line="336" w:lineRule="auto"/>
        <w:ind w:firstLine="480"/>
      </w:pPr>
      <w:r>
        <w:rPr>
          <w:rFonts w:ascii="Times New Roman" w:hAnsi="Times New Roman" w:eastAsia="宋体"/>
          <w:b w:val="0"/>
          <w:sz w:val="24"/>
        </w:rPr>
        <w:t>放行许可确认完成后，将进程单移交地面管制席，由地面席接管后续推出、开车和滑行工作。</w:t>
      </w:r>
    </w:p>
    <w:p>
      <w:pPr>
        <w:spacing w:before="280" w:after="160"/>
      </w:pPr>
      <w:r>
        <w:rPr>
          <w:rFonts w:ascii="Times New Roman" w:hAnsi="Times New Roman" w:eastAsia="黑体"/>
          <w:b/>
          <w:sz w:val="30"/>
        </w:rPr>
        <w:t>四、贯穿全程的协调与处置</w:t>
      </w:r>
    </w:p>
    <w:p>
      <w:pPr>
        <w:spacing w:before="160" w:after="80"/>
      </w:pPr>
      <w:r>
        <w:rPr>
          <w:rFonts w:ascii="Times New Roman" w:hAnsi="Times New Roman" w:eastAsia="楷体"/>
          <w:b/>
          <w:sz w:val="25"/>
        </w:rPr>
        <w:t>1. 通报延误</w:t>
      </w:r>
    </w:p>
    <w:p>
      <w:pPr>
        <w:spacing w:after="80" w:line="336" w:lineRule="auto"/>
        <w:ind w:firstLine="480"/>
      </w:pPr>
      <w:r>
        <w:rPr>
          <w:rFonts w:ascii="Times New Roman" w:hAnsi="Times New Roman" w:eastAsia="宋体"/>
          <w:b w:val="0"/>
          <w:sz w:val="24"/>
        </w:rPr>
        <w:t>预计延误超过规定阈值时，主动向机组通报延误情况、原因及预计时间，并根据最新动态持续更新。</w:t>
      </w:r>
    </w:p>
    <w:p>
      <w:pPr>
        <w:spacing w:before="160" w:after="80"/>
      </w:pPr>
      <w:r>
        <w:rPr>
          <w:rFonts w:ascii="Times New Roman" w:hAnsi="Times New Roman" w:eastAsia="楷体"/>
          <w:b/>
          <w:sz w:val="25"/>
        </w:rPr>
        <w:t>2. 协调修改飞行计划</w:t>
      </w:r>
    </w:p>
    <w:p>
      <w:pPr>
        <w:spacing w:after="80" w:line="336" w:lineRule="auto"/>
        <w:ind w:firstLine="480"/>
      </w:pPr>
      <w:r>
        <w:rPr>
          <w:rFonts w:ascii="Times New Roman" w:hAnsi="Times New Roman" w:eastAsia="宋体"/>
          <w:b w:val="0"/>
          <w:sz w:val="24"/>
        </w:rPr>
        <w:t>航路、高度或时刻需要调整时，向飞行服务室或相关管制单位协调修改，并确保修改后的信息重新传达至机组。</w:t>
      </w:r>
    </w:p>
    <w:p>
      <w:pPr>
        <w:spacing w:before="160" w:after="80"/>
      </w:pPr>
      <w:r>
        <w:rPr>
          <w:rFonts w:ascii="Times New Roman" w:hAnsi="Times New Roman" w:eastAsia="楷体"/>
          <w:b/>
          <w:sz w:val="25"/>
        </w:rPr>
        <w:t>3. 流量控制协同</w:t>
      </w:r>
    </w:p>
    <w:p>
      <w:pPr>
        <w:spacing w:after="80" w:line="336" w:lineRule="auto"/>
        <w:ind w:firstLine="480"/>
      </w:pPr>
      <w:r>
        <w:rPr>
          <w:rFonts w:ascii="Times New Roman" w:hAnsi="Times New Roman" w:eastAsia="宋体"/>
          <w:b w:val="0"/>
          <w:sz w:val="24"/>
        </w:rPr>
        <w:t>协助塔台 / 地面席执行流量控制，统筹调整放行顺序与节奏：既避免航空器开车后在地面长时间等待，也避免将过多航空器同时推给地面席造成拥堵。</w:t>
      </w:r>
    </w:p>
    <w:p>
      <w:pPr>
        <w:spacing w:after="80" w:line="336" w:lineRule="auto"/>
        <w:ind w:firstLine="480"/>
      </w:pPr>
      <w:r>
        <w:rPr>
          <w:rFonts w:ascii="Times New Roman" w:hAnsi="Times New Roman" w:eastAsia="宋体"/>
          <w:b w:val="0"/>
          <w:sz w:val="24"/>
        </w:rPr>
      </w:r>
    </w:p>
    <w:p>
      <w:pPr>
        <w:spacing w:after="80" w:line="336" w:lineRule="auto"/>
        <w:ind w:firstLine="480"/>
      </w:pPr>
      <w:r>
        <w:rPr>
          <w:rFonts w:ascii="Times New Roman" w:hAnsi="Times New Roman" w:eastAsia="宋体"/>
          <w:b w:val="0"/>
          <w:sz w:val="24"/>
        </w:rPr>
        <w:t>综上，放行席的日常运行以“发布放行许可”与“核对复诵”为核心动作，放行前准备与贯穿全程的协调处置均围绕这两项核心工作展开。</w:t>
      </w:r>
    </w:p>
    <w:p>
      <w:pPr>
        <w:jc w:val="left"/>
      </w:pPr>
      <w:r>
        <w:rPr>
          <w:b w:val="0"/>
          <w:i w:val="0"/>
          <w:color w:val="999999"/>
        </w:rPr>
        <w:t>（内容由AI生成，仅供参考）</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e1f361622ec39c10f352cad7e10505c6_226d0316cce411f1afbb52540064ee0f","ReservedCode1":"SDm3V1Rdb/6PpUPKEkp4sRnrZ7qR98AGeOE7CdIEBa1XsCoNClzPUE/aNXcu80xtRQNb+CxRAz23C3O1smpyIQnKJc4CedeNy3aqxUPT/OSbIJt6HUx1dRpa9cSmaYL4vF61BSGFt1JN5d4qbPTvC3OOHWYevskheJEkzc0d5Wn40ake8XwLfP2dAec=","ContentPropagator":"001191440300708461136T1XGW3","PropagateID":"e1f361622ec39c10f352cad7e10505c6_226d0316cce411f1afbb52540064ee0f","ReservedCode2":"SDm3V1Rdb/6PpUPKEkp4sRnrZ7qR98AGeOE7CdIEBa1XsCoNClzPUE/aNXcu80xtRQNb+CxRAz23C3O1smpyIQnKJc4CedeNy3aqxUPT/OSbIJt6HUx1dRpa9cSmaYL4vF61BSGFt1JN5d4qbPTvC3OOHWYevskheJEkzc0d5Wn40ake8XwLfP2dAec="}</vt:lpwstr>
  </property>
</Properties>
</file>