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/>
          <w:i w:val="0"/>
          <w:sz w:val="40"/>
        </w:rPr>
        <w:t>中国民航管制放行期间涉及概念明晰</w:t>
      </w:r>
    </w:p>
    <w:p>
      <w:pPr>
        <w:spacing w:after="360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24"/>
        </w:rPr>
        <w:t>Clearance Delivery Related Concepts · 定义与机制梳理</w:t>
      </w:r>
    </w:p>
    <w:p>
      <w:pPr>
        <w:spacing w:after="80" w:line="336" w:lineRule="auto"/>
      </w:pPr>
      <w:r>
        <w:rPr>
          <w:rFonts w:ascii="Times New Roman" w:hAnsi="Times New Roman" w:eastAsia="宋体"/>
          <w:b w:val="0"/>
          <w:i w:val="0"/>
          <w:sz w:val="24"/>
        </w:rPr>
        <w:t>放行期间涉及的概念，按对运行（及对应机制）的影响程度，可分为四个板块。每个概念均给出定义、在放行工作中的位置，以及它可能对应的机制含义。</w:t>
      </w:r>
    </w:p>
    <w:p>
      <w:pPr>
        <w:spacing w:before="280" w:after="160"/>
      </w:pPr>
      <w:r>
        <w:rPr>
          <w:rFonts w:ascii="Times New Roman" w:hAnsi="Times New Roman" w:eastAsia="黑体"/>
          <w:b/>
          <w:i w:val="0"/>
          <w:sz w:val="30"/>
        </w:rPr>
        <w:t>一、放行许可本身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1. 放行许可（ATC Clearance）</w:t>
      </w:r>
    </w:p>
    <w:p>
      <w:pPr>
        <w:spacing w:after="80" w:line="336" w:lineRule="auto"/>
      </w:pPr>
      <w:r>
        <w:rPr>
          <w:rFonts w:ascii="Times New Roman" w:hAnsi="Times New Roman" w:eastAsia="宋体"/>
          <w:b w:val="0"/>
          <w:i w:val="0"/>
          <w:sz w:val="24"/>
        </w:rPr>
        <w:t>塔台管制单位根据批准的飞行计划、机场与航路情况，对离场航空器发出的许可。CCAR-93TM-R5 第二百九十一条规定了其七项法定内容：航空器识别标志、许可界限（定位点或目的地）、批准的离场程序、飞行航路或航线、飞行高度、应答机编码、离场程序中未规定的必要指令或情报。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/>
          <w:i w:val="0"/>
          <w:color w:val="006363"/>
          <w:sz w:val="24"/>
        </w:rPr>
        <w:t xml:space="preserve">【机制含义】 </w:t>
      </w:r>
      <w:r>
        <w:rPr>
          <w:rFonts w:ascii="Times New Roman" w:hAnsi="Times New Roman" w:eastAsia="宋体"/>
          <w:b w:val="0"/>
          <w:i w:val="0"/>
          <w:color w:val="006363"/>
          <w:sz w:val="24"/>
        </w:rPr>
        <w:t>这七项就是“放行”动作的最小完整单元。缺任何一项，许可在规章意义上不成立。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2. 放行界限（Clearance Limit）</w:t>
      </w:r>
    </w:p>
    <w:p>
      <w:pPr>
        <w:spacing w:after="80" w:line="336" w:lineRule="auto"/>
      </w:pPr>
      <w:r>
        <w:rPr>
          <w:rFonts w:ascii="Times New Roman" w:hAnsi="Times New Roman" w:eastAsia="宋体"/>
          <w:b w:val="0"/>
          <w:i w:val="0"/>
          <w:sz w:val="24"/>
        </w:rPr>
        <w:t>许可中“管到哪里”的终点，通常是目的地机场，也可能是一个定位点。它是许可的空间边界，不是航路的终点。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3. 离场程序（SID，Standard Instrument Departure）</w:t>
      </w:r>
    </w:p>
    <w:p>
      <w:pPr>
        <w:spacing w:after="80" w:line="336" w:lineRule="auto"/>
      </w:pPr>
      <w:r>
        <w:rPr>
          <w:rFonts w:ascii="Times New Roman" w:hAnsi="Times New Roman" w:eastAsia="宋体"/>
          <w:b w:val="0"/>
          <w:i w:val="0"/>
          <w:sz w:val="24"/>
        </w:rPr>
        <w:t>预先设定的一系列航路，将飞机从起飞后引导至离场点，即飞行计划航路的第一个导航点。如果说航路是高速公路，SID 就是机场到高速公路的连接路。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/>
          <w:i w:val="0"/>
          <w:color w:val="006363"/>
          <w:sz w:val="24"/>
        </w:rPr>
        <w:t xml:space="preserve">【机制含义】 </w:t>
      </w:r>
      <w:r>
        <w:rPr>
          <w:rFonts w:ascii="Times New Roman" w:hAnsi="Times New Roman" w:eastAsia="宋体"/>
          <w:b w:val="0"/>
          <w:i w:val="0"/>
          <w:color w:val="006363"/>
          <w:sz w:val="24"/>
        </w:rPr>
        <w:t>SID 是一串带高度/速度约束的航路点。放行席发布的是 SID 名称，飞行员在 FMC 中装订的是它的点序列。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4. 离场情报（Departure Information）</w:t>
      </w:r>
    </w:p>
    <w:p>
      <w:pPr>
        <w:spacing w:after="80" w:line="336" w:lineRule="auto"/>
      </w:pPr>
      <w:r>
        <w:rPr>
          <w:rFonts w:ascii="Times New Roman" w:hAnsi="Times New Roman" w:eastAsia="宋体"/>
          <w:b w:val="0"/>
          <w:i w:val="0"/>
          <w:sz w:val="24"/>
        </w:rPr>
        <w:t>为便于离场而发布的情报和指示，第二百九十四条列出七项：使用跑道、风向风速能见度（必要时云高）、高度表拨正值、地面滑行路线、跑道视程（如有自动观测系统）、低空风切变、其他必要情报。若机组已抄收现行 ATIS，这些内容可以省略，但高度表拨正值仍然必须由管制单位直接提供。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5. 高度表拨正值（QNH）</w:t>
      </w:r>
    </w:p>
    <w:p>
      <w:pPr>
        <w:spacing w:after="80" w:line="336" w:lineRule="auto"/>
      </w:pPr>
      <w:r>
        <w:rPr>
          <w:rFonts w:ascii="Times New Roman" w:hAnsi="Times New Roman" w:eastAsia="宋体"/>
          <w:b w:val="0"/>
          <w:i w:val="0"/>
          <w:sz w:val="24"/>
        </w:rPr>
        <w:t>离场情报中唯一不可因 ATIS 存在而豁免的项。其功能是让机载气压高度表以正确的基准显示高度，属于安全关键数值。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6. 应答机编码（SSR Code / Squawk）</w:t>
      </w:r>
    </w:p>
    <w:p>
      <w:pPr>
        <w:spacing w:after="80" w:line="336" w:lineRule="auto"/>
      </w:pPr>
      <w:r>
        <w:rPr>
          <w:rFonts w:ascii="Times New Roman" w:hAnsi="Times New Roman" w:eastAsia="宋体"/>
          <w:b w:val="0"/>
          <w:i w:val="0"/>
          <w:sz w:val="24"/>
        </w:rPr>
        <w:t>空管指派给航空器、用于二次雷达识别和指挥的四位八进制代码。核心约束是同一区域、同一时间尽量减少编码重复，防止识别错误。紧急编码 7700（一般紧急）、7600（通信失效）、7500（非法干扰）为其特殊状态。</w:t>
      </w:r>
    </w:p>
    <w:p>
      <w:pPr>
        <w:spacing w:before="280" w:after="160"/>
      </w:pPr>
      <w:r>
        <w:rPr>
          <w:rFonts w:ascii="Times New Roman" w:hAnsi="Times New Roman" w:eastAsia="黑体"/>
          <w:b/>
          <w:i w:val="0"/>
          <w:sz w:val="30"/>
        </w:rPr>
        <w:t>二、时间与流量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7. EOBT（预计撤轮挡时间，Estimated Off-Block Time）</w:t>
      </w:r>
    </w:p>
    <w:p>
      <w:pPr>
        <w:spacing w:after="80" w:line="336" w:lineRule="auto"/>
      </w:pPr>
      <w:r>
        <w:rPr>
          <w:rFonts w:ascii="Times New Roman" w:hAnsi="Times New Roman" w:eastAsia="宋体"/>
          <w:b w:val="0"/>
          <w:i w:val="0"/>
          <w:sz w:val="24"/>
        </w:rPr>
        <w:t>飞行计划中申请的撤轮挡时间，是放行排序的初始输入。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8. TOBT（目标撤轮挡时间，Target Off-Block Time）</w:t>
      </w:r>
    </w:p>
    <w:p>
      <w:pPr>
        <w:spacing w:after="80" w:line="336" w:lineRule="auto"/>
      </w:pPr>
      <w:r>
        <w:rPr>
          <w:rFonts w:ascii="Times New Roman" w:hAnsi="Times New Roman" w:eastAsia="宋体"/>
          <w:b w:val="0"/>
          <w:i w:val="0"/>
          <w:sz w:val="24"/>
        </w:rPr>
        <w:t>承运人或地面服务单位预计航空器准备好、所有舱门关闭、撤廊桥完成、推车就位、收到许可即可推出/开车的时刻。相比 EOBT 具有更灵活的调整能力，但是一种有职责效力的运行保证。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/>
          <w:i w:val="0"/>
          <w:color w:val="006363"/>
          <w:sz w:val="24"/>
        </w:rPr>
        <w:t xml:space="preserve">【机制含义】 </w:t>
      </w:r>
      <w:r>
        <w:rPr>
          <w:rFonts w:ascii="Times New Roman" w:hAnsi="Times New Roman" w:eastAsia="宋体"/>
          <w:b w:val="0"/>
          <w:i w:val="0"/>
          <w:color w:val="006363"/>
          <w:sz w:val="24"/>
        </w:rPr>
        <w:t>TOBT 是“机组声称其何时能走”，放行席需要判断这个声明是否可信。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9. CTOT（计算起飞时间，Calculated Take-Off Time）</w:t>
      </w:r>
    </w:p>
    <w:p>
      <w:pPr>
        <w:spacing w:after="80" w:line="336" w:lineRule="auto"/>
      </w:pPr>
      <w:r>
        <w:rPr>
          <w:rFonts w:ascii="Times New Roman" w:hAnsi="Times New Roman" w:eastAsia="宋体"/>
          <w:b w:val="0"/>
          <w:i w:val="0"/>
          <w:sz w:val="24"/>
        </w:rPr>
        <w:t>空管部门根据运行情况计算并发布的离地时刻。它基于航班优先级和起飞基准，在满足流量管理措施约束的条件下，为受限航班分配的一个计算起飞时隙。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/>
          <w:i w:val="0"/>
          <w:color w:val="006363"/>
          <w:sz w:val="24"/>
        </w:rPr>
        <w:t xml:space="preserve">【机制含义】 </w:t>
      </w:r>
      <w:r>
        <w:rPr>
          <w:rFonts w:ascii="Times New Roman" w:hAnsi="Times New Roman" w:eastAsia="宋体"/>
          <w:b w:val="0"/>
          <w:i w:val="0"/>
          <w:color w:val="006363"/>
          <w:sz w:val="24"/>
        </w:rPr>
        <w:t>CTOT 是放行席在“大流量”下的核心约束——不能单纯按“谁先准备好谁先走”排序，必须把飞机放进 CTOT 给定的时隙里。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10. COBT（计算撤轮挡时间，Calculated Off-Block Time）</w:t>
      </w:r>
    </w:p>
    <w:p>
      <w:pPr>
        <w:spacing w:after="80" w:line="336" w:lineRule="auto"/>
      </w:pPr>
      <w:r>
        <w:rPr>
          <w:rFonts w:ascii="Times New Roman" w:hAnsi="Times New Roman" w:eastAsia="宋体"/>
          <w:b w:val="0"/>
          <w:i w:val="0"/>
          <w:sz w:val="24"/>
        </w:rPr>
        <w:t>CDM 系统根据机位、跑道使用、场面运行状况和 CTOT 反推出的最晚撤轮挡时间。它是 CTOT 在地面侧的投影。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11. TSAT（目标开车批准时间，Target Start Approval Time）</w:t>
      </w:r>
    </w:p>
    <w:p>
      <w:pPr>
        <w:spacing w:after="80" w:line="336" w:lineRule="auto"/>
      </w:pPr>
      <w:r>
        <w:rPr>
          <w:rFonts w:ascii="Times New Roman" w:hAnsi="Times New Roman" w:eastAsia="宋体"/>
          <w:b w:val="0"/>
          <w:i w:val="0"/>
          <w:sz w:val="24"/>
        </w:rPr>
        <w:t>与 COBT 同源的时隙概念。DCL 请求通常要求在 TSAT 前 20 分钟以内发起。</w:t>
      </w:r>
    </w:p>
    <w:p>
      <w:pPr>
        <w:spacing w:before="280" w:after="160"/>
      </w:pPr>
      <w:r>
        <w:rPr>
          <w:rFonts w:ascii="Times New Roman" w:hAnsi="Times New Roman" w:eastAsia="黑体"/>
          <w:b/>
          <w:i w:val="0"/>
          <w:sz w:val="30"/>
        </w:rPr>
        <w:t>三、导航与程序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12. PBN（基于性能导航，Performance-Based Navigation）</w:t>
      </w:r>
    </w:p>
    <w:p>
      <w:pPr>
        <w:spacing w:after="80" w:line="336" w:lineRule="auto"/>
      </w:pPr>
      <w:r>
        <w:rPr>
          <w:rFonts w:ascii="Times New Roman" w:hAnsi="Times New Roman" w:eastAsia="宋体"/>
          <w:b w:val="0"/>
          <w:i w:val="0"/>
          <w:sz w:val="24"/>
        </w:rPr>
        <w:t>沿 ATS 航路、仪表进离场、仪表进近程序或在指定空域运行，以航空器所需达到的导航性能要求为基础的区域导航。PBN 是伞概念，下分 RNAV 与 RNP 两类规范。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13. RNAV（区域导航，Area Navigation）</w:t>
      </w:r>
    </w:p>
    <w:p>
      <w:pPr>
        <w:spacing w:after="80" w:line="336" w:lineRule="auto"/>
      </w:pPr>
      <w:r>
        <w:rPr>
          <w:rFonts w:ascii="Times New Roman" w:hAnsi="Times New Roman" w:eastAsia="宋体"/>
          <w:b w:val="0"/>
          <w:i w:val="0"/>
          <w:sz w:val="24"/>
        </w:rPr>
        <w:t>不要求机载性能监视与告警功能的 PBN 规范，前缀为 RNAV（如 RNAV1、RNAV2）。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14. RNP（所需导航性能，Required Navigation Performance）</w:t>
      </w:r>
    </w:p>
    <w:p>
      <w:pPr>
        <w:spacing w:after="80" w:line="336" w:lineRule="auto"/>
      </w:pPr>
      <w:r>
        <w:rPr>
          <w:rFonts w:ascii="Times New Roman" w:hAnsi="Times New Roman" w:eastAsia="宋体"/>
          <w:b w:val="0"/>
          <w:i w:val="0"/>
          <w:sz w:val="24"/>
        </w:rPr>
        <w:t>要求机载性能监视与告警功能的 PBN 规范，前缀为 RNP（如 RNP4、RNP APCH）。当系统不能保证当前运行所需的性能时，必须向驾驶员发出告警。RNP 与 RNAV 的核心区别不在“精度数字”，而在于机上是否具备自主监视并告警的能力。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/>
          <w:i w:val="0"/>
          <w:color w:val="006363"/>
          <w:sz w:val="24"/>
        </w:rPr>
        <w:t xml:space="preserve">【机制含义】 </w:t>
      </w:r>
      <w:r>
        <w:rPr>
          <w:rFonts w:ascii="Times New Roman" w:hAnsi="Times New Roman" w:eastAsia="宋体"/>
          <w:b w:val="0"/>
          <w:i w:val="0"/>
          <w:color w:val="006363"/>
          <w:sz w:val="24"/>
        </w:rPr>
        <w:t>若一个离场程序是 RNP 程序，游戏中的飞机需具备“偏离航道时自己知道并告警”的状态；RNAV 程序则不需要该内部状态。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15. STAR（标准仪表进场程序）</w:t>
      </w:r>
    </w:p>
    <w:p>
      <w:pPr>
        <w:spacing w:after="80" w:line="336" w:lineRule="auto"/>
      </w:pPr>
      <w:r>
        <w:rPr>
          <w:rFonts w:ascii="Times New Roman" w:hAnsi="Times New Roman" w:eastAsia="宋体"/>
          <w:b w:val="0"/>
          <w:i w:val="0"/>
          <w:sz w:val="24"/>
        </w:rPr>
        <w:t>将飞机从航路接驳到机场终端区的预定路线，与 SID 对称。放行阶段不发布 STAR，但飞行员在申请放行前已在 FMC 中装订它；放行席发布的 SID 需与 STAR 构成完整的航路闭环。</w:t>
      </w:r>
    </w:p>
    <w:p>
      <w:pPr>
        <w:spacing w:before="280" w:after="160"/>
      </w:pPr>
      <w:r>
        <w:rPr>
          <w:rFonts w:ascii="Times New Roman" w:hAnsi="Times New Roman" w:eastAsia="黑体"/>
          <w:b/>
          <w:i w:val="0"/>
          <w:sz w:val="30"/>
        </w:rPr>
        <w:t>四、地面运行与移交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16. 推出（Pushback）</w:t>
      </w:r>
    </w:p>
    <w:p>
      <w:pPr>
        <w:spacing w:after="80" w:line="336" w:lineRule="auto"/>
      </w:pPr>
      <w:r>
        <w:rPr>
          <w:rFonts w:ascii="Times New Roman" w:hAnsi="Times New Roman" w:eastAsia="宋体"/>
          <w:b w:val="0"/>
          <w:i w:val="0"/>
          <w:sz w:val="24"/>
        </w:rPr>
        <w:t>将飞机从停机位推离至可以依靠自身动力移动的位置。推出需要许可，许可指令应包含推出机头朝向或“PB”点以及使用跑道等信息。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17. 开车（Start-Up）</w:t>
      </w:r>
    </w:p>
    <w:p>
      <w:pPr>
        <w:spacing w:after="80" w:line="336" w:lineRule="auto"/>
      </w:pPr>
      <w:r>
        <w:rPr>
          <w:rFonts w:ascii="Times New Roman" w:hAnsi="Times New Roman" w:eastAsia="宋体"/>
          <w:b w:val="0"/>
          <w:i w:val="0"/>
          <w:sz w:val="24"/>
        </w:rPr>
        <w:t>发动机启动，发生在推出许可之后、滑行许可之前。推出和开车是分开的两个动作，规章中的短语“pushback and startup”指两项动作，并非同一件事。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18. 滑行（Taxi）</w:t>
      </w:r>
    </w:p>
    <w:p>
      <w:pPr>
        <w:spacing w:after="80" w:line="336" w:lineRule="auto"/>
      </w:pPr>
      <w:r>
        <w:rPr>
          <w:rFonts w:ascii="Times New Roman" w:hAnsi="Times New Roman" w:eastAsia="宋体"/>
          <w:b w:val="0"/>
          <w:i w:val="0"/>
          <w:sz w:val="24"/>
        </w:rPr>
        <w:t>飞机依靠自身动力在地面移动。推出开车后必须申请并得到滑行许可；滑行许可应包含使用的滑行道、到达的跑道号及特殊规定。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19. 管制移交（Transfer of Control）</w:t>
      </w:r>
    </w:p>
    <w:p>
      <w:pPr>
        <w:spacing w:after="80" w:line="336" w:lineRule="auto"/>
      </w:pPr>
      <w:r>
        <w:rPr>
          <w:rFonts w:ascii="Times New Roman" w:hAnsi="Times New Roman" w:eastAsia="宋体"/>
          <w:b w:val="0"/>
          <w:i w:val="0"/>
          <w:sz w:val="24"/>
        </w:rPr>
        <w:t>放行席完成放行许可和复诵确认后，将电子进程单移交给地面管制席，由地面席接管推出、开车和滑行；地面席再在滑行或排队时将进程单移交给塔台管制席。移交的载体是进程单，移交的节点是责任转移，而非“说一声”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20. 进程单（Flight Progress Strip）</w:t>
      </w:r>
    </w:p>
    <w:p>
      <w:pPr>
        <w:spacing w:after="80" w:line="336" w:lineRule="auto"/>
      </w:pPr>
      <w:r>
        <w:rPr>
          <w:rFonts w:ascii="Times New Roman" w:hAnsi="Times New Roman" w:eastAsia="宋体"/>
          <w:b w:val="0"/>
          <w:i w:val="0"/>
          <w:sz w:val="24"/>
        </w:rPr>
        <w:t>放行席的核心工作界面是电子进程单，依据航班计划进行放行管理，并承担与地面席的计划移交功能。进程单不是“备忘录”，而是管制责任的可视化载体——谁持有进程单，谁对该航班当前阶段负责。</w:t>
      </w:r>
    </w:p>
    <w:p>
      <w:pPr>
        <w:spacing w:before="280" w:after="160"/>
      </w:pPr>
      <w:r>
        <w:rPr>
          <w:rFonts w:ascii="Times New Roman" w:hAnsi="Times New Roman" w:eastAsia="黑体"/>
          <w:b/>
          <w:i w:val="0"/>
          <w:sz w:val="30"/>
        </w:rPr>
        <w:t>五、机制优先级收敛：放行阶段“必须实现”的概念</w:t>
      </w:r>
    </w:p>
    <w:p>
      <w:pPr>
        <w:spacing w:after="80" w:line="336" w:lineRule="auto"/>
      </w:pPr>
      <w:r>
        <w:rPr>
          <w:rFonts w:ascii="Times New Roman" w:hAnsi="Times New Roman" w:eastAsia="宋体"/>
          <w:b w:val="0"/>
          <w:i w:val="0"/>
          <w:sz w:val="24"/>
        </w:rPr>
        <w:t>按运行与机制优先级收敛，放行阶段涉及的概念可分为四个层级：</w:t>
      </w:r>
    </w:p>
    <w:p>
      <w:pPr>
        <w:spacing w:after="60" w:line="336" w:lineRule="auto"/>
        <w:ind w:left="480"/>
      </w:pPr>
      <w:r>
        <w:rPr>
          <w:rFonts w:ascii="Times New Roman" w:hAnsi="Times New Roman" w:eastAsia="宋体"/>
          <w:b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最小闭环：放行许可的七项内容 + 离场情报（尤其 QNH）+ 复诵确认，是放行席玩法的最小闭环，缺一项即不成立。</w:t>
      </w:r>
    </w:p>
    <w:p>
      <w:pPr>
        <w:spacing w:after="60" w:line="336" w:lineRule="auto"/>
        <w:ind w:left="480"/>
      </w:pPr>
      <w:r>
        <w:rPr>
          <w:rFonts w:ascii="Times New Roman" w:hAnsi="Times New Roman" w:eastAsia="宋体"/>
          <w:b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压力来源：CTOT / COBT / TOBT 决定放行席是否只是在“念许可”，还是在做排序决策。若要体现管制员的核心压力，这一组概念必须进入机制。</w:t>
      </w:r>
    </w:p>
    <w:p>
      <w:pPr>
        <w:spacing w:after="60" w:line="336" w:lineRule="auto"/>
        <w:ind w:left="480"/>
      </w:pPr>
      <w:r>
        <w:rPr>
          <w:rFonts w:ascii="Times New Roman" w:hAnsi="Times New Roman" w:eastAsia="宋体"/>
          <w:b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匹配关系：SID 和航路点约束使放行许可不是随机文本，而是与飞行计划、FMC 预设构成可核对的匹配关系。</w:t>
      </w:r>
    </w:p>
    <w:p>
      <w:pPr>
        <w:spacing w:after="60" w:line="336" w:lineRule="auto"/>
        <w:ind w:left="480"/>
      </w:pPr>
      <w:r>
        <w:rPr>
          <w:rFonts w:ascii="Times New Roman" w:hAnsi="Times New Roman" w:eastAsia="宋体"/>
          <w:b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移交流程：推出、开车、滑行、移交是放行席“放手”之后的下一段流程，在放行玩法中可作为移交条件（如“地面准备好叫”）和进程单状态存在，无需在放行阶段展开完整滑行指挥。</w:t>
      </w:r>
    </w:p>
    <w:p>
      <w:pPr>
        <w:spacing w:after="60" w:line="336" w:lineRule="auto"/>
        <w:ind w:left="480"/>
      </w:pPr>
      <w:r>
        <w:rPr>
          <w:rFonts w:ascii="Times New Roman" w:hAnsi="Times New Roman" w:eastAsia="宋体"/>
          <w:b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进阶输入：RNP/RNAV、备降场、紧急编码可作为进阶关卡或异常事件的输入（如“该 SID 是 RNP 程序，但机组未获 RNP 批准”），不必在第一版核心循环中全部实现。</w:t>
      </w:r>
    </w:p>
    <w:p>
      <w:pPr>
        <w:jc w:val="left"/>
      </w:pPr>
      <w:r>
        <w:rPr>
          <w:b w:val="0"/>
          <w:i w:val="0"/>
          <w:color w:val="999999"/>
        </w:rPr>
        <w:t>（内容由AI生成，仅供参考）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e1f361622ec39c10f352cad7e10505c6_f00a3487cce811f1b76f525400638852","ReservedCode1":"0mQqiAkAqEowPWbvSlod5mq0PWxONXnXp74Zaf3/PxaIJnwW8K7EH/aKSQbV4arHRJHwiO9iV8gwVgRHeaxNOKc4mOl8iGZTdTs/QIuYyAXFCiocmVJm6ZzzQEatqmajoV4ekwXbY42g0j4Xreq0BNjgzV8Mefhwdk3KIzBpNb4QnoJcImRx7qQ+JuM=","ContentPropagator":"001191440300708461136T1XGW3","PropagateID":"e1f361622ec39c10f352cad7e10505c6_f00a3487cce811f1b76f525400638852","ReservedCode2":"0mQqiAkAqEowPWbvSlod5mq0PWxONXnXp74Zaf3/PxaIJnwW8K7EH/aKSQbV4arHRJHwiO9iV8gwVgRHeaxNOKc4mOl8iGZTdTs/QIuYyAXFCiocmVJm6ZzzQEatqmajoV4ekwXbY42g0j4Xreq0BNjgzV8Mefhwdk3KIzBpNb4QnoJcImRx7qQ+JuM="}</vt:lpwstr>
  </property>
</Properties>
</file>