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tion-10-diagnostics-first-results"/>
    <w:p>
      <w:pPr>
        <w:pStyle w:val="Heading1"/>
      </w:pPr>
      <w:r>
        <w:t xml:space="preserve">Section 10 diagnostics: first results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Sean Cox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S.D.N. Johnson, Landmark Fisheries Research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25 August 2026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Outside Pacific Spiny Dogfish – bounded diagnostic programme,</w:t>
      </w:r>
      <w:r>
        <w:t xml:space="preserve"> </w:t>
      </w:r>
      <w:r>
        <w:t xml:space="preserve">first three diagnostics, and a methodological problem that conditions</w:t>
      </w:r>
      <w:r>
        <w:t xml:space="preserve"> </w:t>
      </w:r>
      <w:r>
        <w:t xml:space="preserve">all of them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Three of your seven S.10 diagnostics are run. Before any of them: this</w:t>
      </w:r>
      <w:r>
        <w:t xml:space="preserve"> </w:t>
      </w:r>
      <w:r>
        <w:t xml:space="preserve">likelihood surface is strongly multi-modal, and single-start fits of</w:t>
      </w:r>
      <w:r>
        <w:t xml:space="preserve"> </w:t>
      </w:r>
      <w:r>
        <w:t xml:space="preserve">perturbed configurations are not trustworthy. Everything below is the</w:t>
      </w:r>
      <w:r>
        <w:t xml:space="preserve"> </w:t>
      </w:r>
      <w:r>
        <w:t xml:space="preserve">best of 21 starts.</w:t>
      </w:r>
    </w:p>
    <w:p>
      <w:pPr>
        <w:pStyle w:val="BodyText"/>
      </w:pPr>
      <w:r>
        <w:t xml:space="preserve">The headline result is that</w:t>
      </w:r>
      <w:r>
        <w:t xml:space="preserve"> </w:t>
      </w:r>
      <w:r>
        <w:rPr>
          <w:b/>
          <w:bCs/>
        </w:rPr>
        <w:t xml:space="preserve">A0’s depletion estimate is not robust to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recruitment variation</w:t>
      </w:r>
      <w:r>
        <w:t xml:space="preserve">. Estimated 2023 depletion moves from</w:t>
      </w:r>
      <w:r>
        <w:t xml:space="preserve"> </w:t>
      </w:r>
      <w:r>
        <w:t xml:space="preserve">0.086 to 0.185 when recruitment deviations are switched on, and the fit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components improves substantially. That is close to what</w:t>
      </w:r>
      <w:r>
        <w:t xml:space="preserve"> </w:t>
      </w:r>
      <w:r>
        <w:t xml:space="preserve">your B-series counterparts produce by a different route (B1 0.172, B4</w:t>
      </w:r>
      <w:r>
        <w:t xml:space="preserve"> </w:t>
      </w:r>
      <w:r>
        <w:t xml:space="preserve">0.179), so two independent relaxations of A0’s deterministic structure</w:t>
      </w:r>
      <w:r>
        <w:t xml:space="preserve"> </w:t>
      </w:r>
      <w:r>
        <w:t xml:space="preserve">land in the same place.</w:t>
      </w:r>
    </w:p>
    <w:bookmarkEnd w:id="9"/>
    <w:bookmarkStart w:id="10" w:name="the-surface-is-multi-modal"/>
    <w:p>
      <w:pPr>
        <w:pStyle w:val="Heading2"/>
      </w:pPr>
      <w:r>
        <w:t xml:space="preserve">0. The surface is multi-modal</w:t>
      </w:r>
    </w:p>
    <w:p>
      <w:pPr>
        <w:pStyle w:val="FirstParagraph"/>
      </w:pPr>
      <w:r>
        <w:t xml:space="preserve">Configurations started from the supplied control values converge cleanly</w:t>
      </w:r>
      <w:r>
        <w:t xml:space="preserve"> </w:t>
      </w:r>
      <w:r>
        <w:t xml:space="preserve">– small maximum gradient components, no parameters at bounds – to</w:t>
      </w:r>
      <w:r>
        <w:t xml:space="preserve"> </w:t>
      </w:r>
      <w:r>
        <w:t xml:space="preserve">optima far from the best we can find for the same 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Supplied start</w:t>
            </w:r>
          </w:p>
        </w:tc>
        <w:tc>
          <w:tcPr/>
          <w:p>
            <w:pPr>
              <w:pStyle w:val="Compact"/>
            </w:pPr>
            <w:r>
              <w:t xml:space="preserve">Best of 21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1646.38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D1_commonsel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1852.16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S1_sexswap</w:t>
            </w:r>
          </w:p>
        </w:tc>
        <w:tc>
          <w:tcPr/>
          <w:p>
            <w:pPr>
              <w:pStyle w:val="Compact"/>
            </w:pPr>
            <w:r>
              <w:t xml:space="preserve">2016.86</w:t>
            </w:r>
          </w:p>
        </w:tc>
        <w:tc>
          <w:tcPr/>
          <w:p>
            <w:pPr>
              <w:pStyle w:val="Compact"/>
            </w:pPr>
            <w:r>
              <w:t xml:space="preserve">2014.13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D3_recdev</w:t>
            </w:r>
          </w:p>
        </w:tc>
        <w:tc>
          <w:tcPr/>
          <w:p>
            <w:pPr>
              <w:pStyle w:val="Compact"/>
            </w:pPr>
            <w:r>
              <w:t xml:space="preserve">2147.14</w:t>
            </w:r>
          </w:p>
        </w:tc>
        <w:tc>
          <w:tcPr/>
          <w:p>
            <w:pPr>
              <w:pStyle w:val="Compact"/>
            </w:pPr>
            <w:r>
              <w:t xml:space="preserve">1513.81</w:t>
            </w:r>
          </w:p>
        </w:tc>
        <w:tc>
          <w:tcPr/>
          <w:p>
            <w:pPr>
              <w:pStyle w:val="Compact"/>
            </w:pPr>
            <w:r>
              <w:t xml:space="preserve">633.3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D2_nodiscardlen</w:t>
            </w:r>
          </w:p>
        </w:tc>
        <w:tc>
          <w:tcPr/>
          <w:p>
            <w:pPr>
              <w:pStyle w:val="Compact"/>
            </w:pPr>
            <w:r>
              <w:t xml:space="preserve">2071.55</w:t>
            </w:r>
          </w:p>
        </w:tc>
        <w:tc>
          <w:tcPr/>
          <w:p>
            <w:pPr>
              <w:pStyle w:val="Compact"/>
            </w:pPr>
            <w:r>
              <w:t xml:space="preserve">1434.23</w:t>
            </w:r>
          </w:p>
        </w:tc>
        <w:tc>
          <w:tcPr/>
          <w:p>
            <w:pPr>
              <w:pStyle w:val="Compact"/>
            </w:pPr>
            <w:r>
              <w:t xml:space="preserve">637.3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S2_mwswap</w:t>
            </w:r>
          </w:p>
        </w:tc>
        <w:tc>
          <w:tcPr/>
          <w:p>
            <w:pPr>
              <w:pStyle w:val="Compact"/>
            </w:pPr>
            <w:r>
              <w:t xml:space="preserve">2309.14</w:t>
            </w:r>
          </w:p>
        </w:tc>
        <w:tc>
          <w:tcPr/>
          <w:p>
            <w:pPr>
              <w:pStyle w:val="Compact"/>
            </w:pPr>
            <w:r>
              <w:t xml:space="preserve">1664.04</w:t>
            </w:r>
          </w:p>
        </w:tc>
        <w:tc>
          <w:tcPr/>
          <w:p>
            <w:pPr>
              <w:pStyle w:val="Compact"/>
            </w:pPr>
            <w:r>
              <w:t xml:space="preserve">645.1</w:t>
            </w:r>
          </w:p>
        </w:tc>
      </w:tr>
    </w:tbl>
    <w:p>
      <w:pPr>
        <w:pStyle w:val="BodyText"/>
      </w:pPr>
      <w:r>
        <w:t xml:space="preserve">A0 is robust, so the supplied initial values are well tuned for the base</w:t>
      </w:r>
      <w:r>
        <w:t xml:space="preserve"> </w:t>
      </w:r>
      <w:r>
        <w:t xml:space="preserve">configuration. Nothing else can be assumed to be. The alternative modes</w:t>
      </w:r>
      <w:r>
        <w:t xml:space="preserve"> </w:t>
      </w:r>
      <w:r>
        <w:t xml:space="preserve">are interpretable rather than numerical noise: at the poor SYN optimum</w:t>
      </w:r>
      <w:r>
        <w:t xml:space="preserve"> </w:t>
      </w:r>
      <w:r>
        <w:t xml:space="preserve">the male apex selectivity scale falls from 0.934 to 0.446, so the model</w:t>
      </w:r>
      <w:r>
        <w:t xml:space="preserve"> </w:t>
      </w:r>
      <w:r>
        <w:t xml:space="preserve">explains the same sex composition by deciding the survey barely catches</w:t>
      </w:r>
      <w:r>
        <w:t xml:space="preserve"> </w:t>
      </w:r>
      <w:r>
        <w:t xml:space="preserve">males. That the data admit both readings supports your S.5 concern that</w:t>
      </w:r>
      <w:r>
        <w:t xml:space="preserve"> </w:t>
      </w:r>
      <w:r>
        <w:t xml:space="preserve">sex-specific selectivity is weakly identified.</w:t>
      </w:r>
    </w:p>
    <w:p>
      <w:pPr>
        <w:pStyle w:val="BodyText"/>
      </w:pPr>
      <w:r>
        <w:t xml:space="preserve">We are currently multi-starting all 21 published configurations to see</w:t>
      </w:r>
      <w:r>
        <w:t xml:space="preserve"> </w:t>
      </w:r>
      <w:r>
        <w:t xml:space="preserve">whether any of them sits at a poor optimum. The first two checked, A0 and</w:t>
      </w:r>
      <w:r>
        <w:t xml:space="preserve"> </w:t>
      </w:r>
      <w:r>
        <w:t xml:space="preserve">A1, are both clean.</w:t>
      </w:r>
    </w:p>
    <w:bookmarkEnd w:id="10"/>
    <w:bookmarkStart w:id="11" w:name="common-sex-selectivity-s.10-row-2"/>
    <w:p>
      <w:pPr>
        <w:pStyle w:val="Heading2"/>
      </w:pPr>
      <w:r>
        <w:t xml:space="preserve">1. Common sex selectivity (S.10 row 2)</w:t>
      </w:r>
    </w:p>
    <w:p>
      <w:pPr>
        <w:pStyle w:val="FirstParagraph"/>
      </w:pPr>
      <w:r>
        <w:rPr>
          <w:rStyle w:val="VerbatimChar"/>
        </w:rPr>
        <w:t xml:space="preserve">D1_commonsel</w:t>
      </w:r>
      <w:r>
        <w:t xml:space="preserve"> </w:t>
      </w:r>
      <w:r>
        <w:t xml:space="preserve">fixes the four estimated male-offset parameters on each of</w:t>
      </w:r>
      <w:r>
        <w:t xml:space="preserve"> </w:t>
      </w:r>
      <w:r>
        <w:t xml:space="preserve">the six pattern-24 fleets, taking the model from 46 to 22 estimated</w:t>
      </w:r>
      <w:r>
        <w:t xml:space="preserve"> </w:t>
      </w:r>
      <w:r>
        <w:t xml:space="preserve">parameters. Verified: female and male selectivity are then identical to</w:t>
      </w:r>
      <w:r>
        <w:t xml:space="preserve"> </w:t>
      </w:r>
      <w:r>
        <w:t xml:space="preserve">machine precision in all twelve fleets.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D1_commonsel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objective</w:t>
            </w:r>
          </w:p>
        </w:tc>
        <w:tc>
          <w:tcPr/>
          <w:p>
            <w:pPr>
              <w:pStyle w:val="Compact"/>
            </w:pPr>
            <w:r>
              <w:t xml:space="preserve">1646.4</w:t>
            </w:r>
          </w:p>
        </w:tc>
        <w:tc>
          <w:tcPr/>
          <w:p>
            <w:pPr>
              <w:pStyle w:val="Compact"/>
            </w:pPr>
            <w:r>
              <w:t xml:space="preserve">1852.2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t xml:space="preserve">842.5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t xml:space="preserve">955.1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29,588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0.0120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data reject common selectivity decisively.</w:t>
      </w:r>
      <w:r>
        <w:t xml:space="preserve"> </w:t>
      </w:r>
      <w:r>
        <w:t xml:space="preserve">D1 is nested in A0:</w:t>
      </w:r>
      <w:r>
        <w:t xml:space="preserve"> </w:t>
      </w:r>
      <w:r>
        <w:t xml:space="preserve">the likelihood ratio is 411.6 on 24 degrees of freedom, p of order</w:t>
      </w:r>
      <w:r>
        <w:t xml:space="preserve"> </w:t>
      </w:r>
      <w:r>
        <w:t xml:space="preserve">1e-72; AIC 3384.8 against 3748.4.</w:t>
      </w:r>
    </w:p>
    <w:p>
      <w:pPr>
        <w:pStyle w:val="BodyText"/>
      </w:pPr>
      <w:r>
        <w:t xml:space="preserve">The more useful finding is what the structure carries. Imposing common</w:t>
      </w:r>
      <w:r>
        <w:t xml:space="preserve"> </w:t>
      </w:r>
      <w:r>
        <w:t xml:space="preserve">selectivity cuts unfished spawning output by a quarter and</w:t>
      </w:r>
      <w:r>
        <w:t xml:space="preserve"> </w:t>
      </w:r>
      <w:r>
        <w:rPr>
          <w:i/>
          <w:iCs/>
        </w:rPr>
        <w:t xml:space="preserve">raises</w:t>
      </w:r>
      <w:r>
        <w:t xml:space="preserve"> </w:t>
      </w:r>
      <w:r>
        <w:t xml:space="preserve">both depletion and fishing mortality. So sex-specific selectivity is not</w:t>
      </w:r>
      <w:r>
        <w:t xml:space="preserve"> </w:t>
      </w:r>
      <w:r>
        <w:t xml:space="preserve">inflating female F – removing it makes F higher, not lower – but it is</w:t>
      </w:r>
      <w:r>
        <w:t xml:space="preserve"> </w:t>
      </w:r>
      <w:r>
        <w:t xml:space="preserve">carrying about 25% of the estimated stock scale, which is the part that</w:t>
      </w:r>
      <w:r>
        <w:t xml:space="preserve"> </w:t>
      </w:r>
      <w:r>
        <w:t xml:space="preserve">matters for rebuilding. Answering your question directly: the curves are</w:t>
      </w:r>
      <w:r>
        <w:t xml:space="preserve"> </w:t>
      </w:r>
      <w:r>
        <w:t xml:space="preserve">necessary in the statistical sense, and the parsimonious baseline you</w:t>
      </w:r>
      <w:r>
        <w:t xml:space="preserve"> </w:t>
      </w:r>
      <w:r>
        <w:t xml:space="preserve">proposed is not supported by these data. Whether the curves represent</w:t>
      </w:r>
      <w:r>
        <w:t xml:space="preserve"> </w:t>
      </w:r>
      <w:r>
        <w:t xml:space="preserve">gear behaviour or absorbed availability is not resolved by a fit test,</w:t>
      </w:r>
      <w:r>
        <w:t xml:space="preserve"> </w:t>
      </w:r>
      <w:r>
        <w:t xml:space="preserve">and the multi-modality above is a reason to keep that question open.</w:t>
      </w:r>
    </w:p>
    <w:bookmarkEnd w:id="11"/>
    <w:bookmarkStart w:id="12" w:name="discard-length-compositions-s.10-row-6"/>
    <w:p>
      <w:pPr>
        <w:pStyle w:val="Heading2"/>
      </w:pPr>
      <w:r>
        <w:t xml:space="preserve">2. Discard length compositions (S.10 row 6)</w:t>
      </w:r>
    </w:p>
    <w:p>
      <w:pPr>
        <w:pStyle w:val="FirstParagraph"/>
      </w:pPr>
      <w:r>
        <w:rPr>
          <w:rStyle w:val="VerbatimChar"/>
        </w:rPr>
        <w:t xml:space="preserve">D2_nodiscardlen</w:t>
      </w:r>
      <w:r>
        <w:t xml:space="preserve"> </w:t>
      </w:r>
      <w:r>
        <w:t xml:space="preserve">drops the ten fleet-2 length-composition rows, keeping</w:t>
      </w:r>
      <w:r>
        <w:t xml:space="preserve"> </w:t>
      </w:r>
      <w:r>
        <w:t xml:space="preserve">catch and dead removals. Comparison is on retained components only, since</w:t>
      </w:r>
      <w:r>
        <w:t xml:space="preserve"> </w:t>
      </w:r>
      <w:r>
        <w:t xml:space="preserve">the data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D2_nodiscardlen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46,918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2023 (total)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Bottom Trawl Discards</w:t>
            </w:r>
          </w:p>
        </w:tc>
        <w:tc>
          <w:tcPr/>
          <w:p>
            <w:pPr>
              <w:pStyle w:val="Compact"/>
            </w:pPr>
            <w:r>
              <w:t xml:space="preserve">0.0107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Apical F, Midwater Trawl</w:t>
            </w:r>
          </w:p>
        </w:tc>
        <w:tc>
          <w:tcPr/>
          <w:p>
            <w:pPr>
              <w:pStyle w:val="Compact"/>
            </w:pPr>
            <w:r>
              <w:t xml:space="preserve">0.0125</w:t>
            </w:r>
          </w:p>
        </w:tc>
        <w:tc>
          <w:tcPr/>
          <w:p>
            <w:pPr>
              <w:pStyle w:val="Compact"/>
            </w:pPr>
            <w:r>
              <w:t xml:space="preserve">0.0101</w:t>
            </w:r>
          </w:p>
        </w:tc>
      </w:tr>
    </w:tbl>
    <w:p>
      <w:pPr>
        <w:pStyle w:val="BodyText"/>
      </w:pPr>
      <w:r>
        <w:t xml:space="preserve">Removing those ten rows changes removal-at-length drastically. Total F</w:t>
      </w:r>
      <w:r>
        <w:t xml:space="preserve"> </w:t>
      </w:r>
      <w:r>
        <w:t xml:space="preserve">halves while apical F on bottom trawl discards rises roughly eightfold,</w:t>
      </w:r>
      <w:r>
        <w:t xml:space="preserve"> </w:t>
      </w:r>
      <w:r>
        <w:t xml:space="preserve">and unfished spawning output rises 20%. Those compositions are what pin</w:t>
      </w:r>
      <w:r>
        <w:t xml:space="preserve"> </w:t>
      </w:r>
      <w:r>
        <w:t xml:space="preserve">down that fleet’s selectivity – and through the mirroring structure,</w:t>
      </w:r>
      <w:r>
        <w:t xml:space="preserve"> </w:t>
      </w:r>
      <w:r>
        <w:t xml:space="preserve">fleets 5, 9, 10 and 12 inherit it, so ten rows of data are load-bearing</w:t>
      </w:r>
      <w:r>
        <w:t xml:space="preserve"> </w:t>
      </w:r>
      <w:r>
        <w:t xml:space="preserve">for five fleets. This is concrete support for your S.9 position that the</w:t>
      </w:r>
      <w:r>
        <w:t xml:space="preserve"> </w:t>
      </w:r>
      <w:r>
        <w:t xml:space="preserve">direction of the removal-at-length allocation must be recalculated.</w:t>
      </w:r>
    </w:p>
    <w:bookmarkEnd w:id="12"/>
    <w:bookmarkStart w:id="13" w:name="recruitment-process-s.10-row-4"/>
    <w:p>
      <w:pPr>
        <w:pStyle w:val="Heading2"/>
      </w:pPr>
      <w:r>
        <w:t xml:space="preserve">3. Recruitment process (S.10 row 4)</w:t>
      </w:r>
    </w:p>
    <w:p>
      <w:pPr>
        <w:pStyle w:val="FirstParagraph"/>
      </w:pPr>
      <w:r>
        <w:rPr>
          <w:rStyle w:val="VerbatimChar"/>
        </w:rPr>
        <w:t xml:space="preserve">D3_recdev</w:t>
      </w:r>
      <w:r>
        <w:t xml:space="preserve"> </w:t>
      </w:r>
      <w:r>
        <w:t xml:space="preserve">switches the recruitment deviation phase from -3 to 3,</w:t>
      </w:r>
      <w:r>
        <w:t xml:space="preserve"> </w:t>
      </w:r>
      <w:r>
        <w:t xml:space="preserve">estimating 63 main deviations over 1960-2022 with sigmaR fixed at 0.4 as</w:t>
      </w:r>
      <w:r>
        <w:t xml:space="preserve"> </w:t>
      </w:r>
      <w:r>
        <w:t xml:space="preserve">supplied.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D3_recdev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parameters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likelihood</w:t>
            </w:r>
          </w:p>
        </w:tc>
        <w:tc>
          <w:tcPr/>
          <w:p>
            <w:pPr>
              <w:pStyle w:val="Compact"/>
            </w:pPr>
            <w:r>
              <w:t xml:space="preserve">922.5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 composition</w:t>
            </w:r>
          </w:p>
        </w:tc>
        <w:tc>
          <w:tcPr/>
          <w:p>
            <w:pPr>
              <w:pStyle w:val="Compact"/>
            </w:pPr>
            <w:r>
              <w:t xml:space="preserve">671.1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components combined</w:t>
            </w:r>
          </w:p>
        </w:tc>
        <w:tc>
          <w:tcPr/>
          <w:p>
            <w:pPr>
              <w:pStyle w:val="Compact"/>
            </w:pPr>
            <w:r>
              <w:t xml:space="preserve">1593.6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penalty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Unfished spawning output</w:t>
            </w:r>
          </w:p>
        </w:tc>
        <w:tc>
          <w:tcPr/>
          <w:p>
            <w:pPr>
              <w:pStyle w:val="Compact"/>
            </w:pPr>
            <w:r>
              <w:t xml:space="preserve">39,194</w:t>
            </w:r>
          </w:p>
        </w:tc>
        <w:tc>
          <w:tcPr/>
          <w:p>
            <w:pPr>
              <w:pStyle w:val="Compact"/>
            </w:pPr>
            <w:r>
              <w:t xml:space="preserve">36,825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2023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Depletion SD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</w:t>
      </w:r>
      <w:r>
        <w:t xml:space="preserve"> </w:t>
      </w:r>
      <w:r>
        <w:t xml:space="preserve">data components improve, by 181.4 units combined, at a</w:t>
      </w:r>
      <w:r>
        <w:t xml:space="preserve"> </w:t>
      </w:r>
      <w:r>
        <w:t xml:space="preserve">recruitment penalty of 51.3. And estimated depletion more than doubles.</w:t>
      </w:r>
    </w:p>
    <w:p>
      <w:pPr>
        <w:pStyle w:val="BodyText"/>
      </w:pPr>
      <w:r>
        <w:t xml:space="preserve">On identifiability, which we checked before believing any of it: the</w:t>
      </w:r>
      <w:r>
        <w:t xml:space="preserve"> </w:t>
      </w:r>
      <w:r>
        <w:t xml:space="preserve">estimated deviations have a standard deviation of 0.515, larger than the</w:t>
      </w:r>
      <w:r>
        <w:t xml:space="preserve"> </w:t>
      </w:r>
      <w:r>
        <w:t xml:space="preserve">0.4 the prior assumes, so the model wants more recruitment variation than</w:t>
      </w:r>
      <w:r>
        <w:t xml:space="preserve"> </w:t>
      </w:r>
      <w:r>
        <w:t xml:space="preserve">it is being allowed. Splitting at 1977, the first year with length</w:t>
      </w:r>
      <w:r>
        <w:t xml:space="preserve"> </w:t>
      </w:r>
      <w:r>
        <w:t xml:space="preserve">compositions: of the 17 deviations before 1977, 12 have parameter</w:t>
      </w:r>
      <w:r>
        <w:t xml:space="preserve"> </w:t>
      </w:r>
      <w:r>
        <w:t xml:space="preserve">standard deviations at or above the prior and are effectively</w:t>
      </w:r>
      <w:r>
        <w:t xml:space="preserve"> </w:t>
      </w:r>
      <w:r>
        <w:t xml:space="preserve">unidentified, functioning as a block adjustment to the initial condition.</w:t>
      </w:r>
      <w:r>
        <w:t xml:space="preserve"> </w:t>
      </w:r>
      <w:r>
        <w:t xml:space="preserve">Of the 46 from 1977 onward, 41 are genuinely estimated.</w:t>
      </w:r>
    </w:p>
    <w:p>
      <w:pPr>
        <w:pStyle w:val="BodyText"/>
      </w:pPr>
      <w:r>
        <w:t xml:space="preserve">We would not lean on the AIC comparison here, because penalised</w:t>
      </w:r>
      <w:r>
        <w:t xml:space="preserve"> </w:t>
      </w:r>
      <w:r>
        <w:t xml:space="preserve">deviations are not free parameters and the count is not meaningful. The</w:t>
      </w:r>
      <w:r>
        <w:t xml:space="preserve"> </w:t>
      </w:r>
      <w:r>
        <w:t xml:space="preserve">result that matters is the direction and the size: relaxing the</w:t>
      </w:r>
      <w:r>
        <w:t xml:space="preserve"> </w:t>
      </w:r>
      <w:r>
        <w:t xml:space="preserve">deterministic recruitment assumption improves the fit to every data</w:t>
      </w:r>
      <w:r>
        <w:t xml:space="preserve"> </w:t>
      </w:r>
      <w:r>
        <w:t xml:space="preserve">component and doubles estimated depletion. This is the concrete form of</w:t>
      </w:r>
      <w:r>
        <w:t xml:space="preserve"> </w:t>
      </w:r>
      <w:r>
        <w:t xml:space="preserve">your S.4 point that failure to estimate recruitment deviations is not</w:t>
      </w:r>
      <w:r>
        <w:t xml:space="preserve"> </w:t>
      </w:r>
      <w:r>
        <w:t xml:space="preserve">evidence of deterministic pup survival.</w:t>
      </w:r>
    </w:p>
    <w:p>
      <w:pPr>
        <w:pStyle w:val="BodyText"/>
      </w:pPr>
      <w:r>
        <w:t xml:space="preserve">A variant restricting the deviation window to 1970-2015, where the data</w:t>
      </w:r>
      <w:r>
        <w:t xml:space="preserve"> </w:t>
      </w:r>
      <w:r>
        <w:t xml:space="preserve">can actually inform it, is built and queued.</w:t>
      </w:r>
    </w:p>
    <w:bookmarkEnd w:id="13"/>
    <w:bookmarkStart w:id="14" w:name="what-this-adds-up-to"/>
    <w:p>
      <w:pPr>
        <w:pStyle w:val="Heading2"/>
      </w:pPr>
      <w:r>
        <w:t xml:space="preserve">What this adds up to</w:t>
      </w:r>
    </w:p>
    <w:p>
      <w:pPr>
        <w:pStyle w:val="FirstParagraph"/>
      </w:pPr>
      <w:r>
        <w:t xml:space="preserve">A0’s depletion of about 0.09 is conditional on two structural</w:t>
      </w:r>
      <w:r>
        <w:t xml:space="preserve"> </w:t>
      </w:r>
      <w:r>
        <w:t xml:space="preserve">assumptions that the data do not obviously support. Allowing recruitment</w:t>
      </w:r>
      <w:r>
        <w:t xml:space="preserve"> </w:t>
      </w:r>
      <w:r>
        <w:t xml:space="preserve">variation moves it to 0.185. Your B-series counterparts, which relax</w:t>
      </w:r>
      <w:r>
        <w:t xml:space="preserve"> </w:t>
      </w:r>
      <w:r>
        <w:t xml:space="preserve">constant natural mortality instead, reach 0.172 and 0.179. Three</w:t>
      </w:r>
      <w:r>
        <w:t xml:space="preserve"> </w:t>
      </w:r>
      <w:r>
        <w:t xml:space="preserve">different relaxations of A0’s deterministic structure converge on</w:t>
      </w:r>
      <w:r>
        <w:t xml:space="preserve"> </w:t>
      </w:r>
      <w:r>
        <w:t xml:space="preserve">roughly twice the base depletion.</w:t>
      </w:r>
    </w:p>
    <w:p>
      <w:pPr>
        <w:pStyle w:val="BodyText"/>
      </w:pPr>
      <w:r>
        <w:t xml:space="preserve">That does not overturn the low-abundance conclusion, which is robust</w:t>
      </w:r>
      <w:r>
        <w:t xml:space="preserve"> </w:t>
      </w:r>
      <w:r>
        <w:t xml:space="preserve">across everything we have run. It does bear on the reconstructed unfished</w:t>
      </w:r>
      <w:r>
        <w:t xml:space="preserve"> </w:t>
      </w:r>
      <w:r>
        <w:t xml:space="preserve">scale and therefore on the removal advice, which is the separation you</w:t>
      </w:r>
      <w:r>
        <w:t xml:space="preserve"> </w:t>
      </w:r>
      <w:r>
        <w:t xml:space="preserve">drew in your fourth immediate priority.</w:t>
      </w:r>
    </w:p>
    <w:bookmarkEnd w:id="14"/>
    <w:bookmarkStart w:id="15" w:name="still-open"/>
    <w:p>
      <w:pPr>
        <w:pStyle w:val="Heading2"/>
      </w:pPr>
      <w:r>
        <w:t xml:space="preserve">Still open</w:t>
      </w:r>
    </w:p>
    <w:p>
      <w:pPr>
        <w:pStyle w:val="Compact"/>
        <w:numPr>
          <w:ilvl w:val="0"/>
          <w:numId w:val="1001"/>
        </w:numPr>
      </w:pPr>
      <w:r>
        <w:t xml:space="preserve">Lorenzen M (S.10 row 3), build pending.</w:t>
      </w:r>
    </w:p>
    <w:p>
      <w:pPr>
        <w:pStyle w:val="Compact"/>
        <w:numPr>
          <w:ilvl w:val="0"/>
          <w:numId w:val="1001"/>
        </w:numPr>
      </w:pPr>
      <w:r>
        <w:t xml:space="preserve">Old-age biology and trawl removals (rows 5, 7), deferred until the</w:t>
      </w:r>
      <w:r>
        <w:t xml:space="preserve"> </w:t>
      </w:r>
      <w:r>
        <w:t xml:space="preserve">baseline is validated against the authors’ outputs.</w:t>
      </w:r>
    </w:p>
    <w:p>
      <w:pPr>
        <w:pStyle w:val="Compact"/>
        <w:numPr>
          <w:ilvl w:val="0"/>
          <w:numId w:val="1001"/>
        </w:numPr>
      </w:pPr>
      <w:r>
        <w:t xml:space="preserve">A0 verification proper (row 1), blocked on those outputs. See the</w:t>
      </w:r>
      <w:r>
        <w:t xml:space="preserve"> </w:t>
      </w:r>
      <w:r>
        <w:t xml:space="preserve">separate request.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2026-08-25T19:48:41Z</dcterms:created>
  <dcterms:modified xsi:type="dcterms:W3CDTF">2026-08-25T19:48:41Z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