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9ac210e58753ad250903ea7395a01ad9f340e31"/>
    <w:p>
      <w:pPr>
        <w:pStyle w:val="Heading1"/>
      </w:pPr>
      <w:r>
        <w:t xml:space="preserve">Draft email: request to the assessment authors</w:t>
      </w:r>
    </w:p>
    <w:p>
      <w:pPr>
        <w:pStyle w:val="FirstParagraph"/>
      </w:pPr>
      <w:r>
        <w:rPr>
          <w:b/>
          <w:bCs/>
        </w:rPr>
        <w:t xml:space="preserve">From:</w:t>
      </w:r>
      <w:r>
        <w:t xml:space="preserve"> </w:t>
      </w:r>
      <w:r>
        <w:t xml:space="preserve">S.D.N. Johnson (Landmark Fisheries Research)</w:t>
      </w:r>
      <w:r>
        <w:t xml:space="preserve"> </w:t>
      </w:r>
      <w:r>
        <w:rPr>
          <w:b/>
          <w:bCs/>
        </w:rPr>
        <w:t xml:space="preserve">Cc:</w:t>
      </w:r>
      <w:r>
        <w:t xml:space="preserve"> </w:t>
      </w:r>
      <w:r>
        <w:t xml:space="preserve">S. Cox</w:t>
      </w:r>
      <w:r>
        <w:t xml:space="preserve"> </w:t>
      </w:r>
      <w:r>
        <w:rPr>
          <w:b/>
          <w:bCs/>
        </w:rPr>
        <w:t xml:space="preserve">To:</w:t>
      </w:r>
      <w:r>
        <w:t xml:space="preserve"> </w:t>
      </w:r>
      <w:r>
        <w:t xml:space="preserve">S.C. Anderson, Q.C. Huynh, L.N.K. Davidson, J.R. King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Dogfish assessment review – request for model outputs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Hello,</w:t>
      </w:r>
    </w:p>
    <w:p>
      <w:pPr>
        <w:pStyle w:val="BodyText"/>
      </w:pPr>
      <w:r>
        <w:t xml:space="preserve">Landmark Fisheries Research has been contracted to review the Outside</w:t>
      </w:r>
      <w:r>
        <w:t xml:space="preserve"> </w:t>
      </w:r>
      <w:r>
        <w:t xml:space="preserve">Pacific Spiny Dogfish assessment (Res. Doc. 2025/055) in support of</w:t>
      </w:r>
      <w:r>
        <w:t xml:space="preserve"> </w:t>
      </w:r>
      <w:r>
        <w:t xml:space="preserve">rebuilding planning. We have the</w:t>
      </w:r>
      <w:r>
        <w:t xml:space="preserve"> </w:t>
      </w:r>
      <w:r>
        <w:rPr>
          <w:rStyle w:val="VerbatimChar"/>
        </w:rPr>
        <w:t xml:space="preserve">dogfish-assess</w:t>
      </w:r>
      <w:r>
        <w:t xml:space="preserve"> </w:t>
      </w:r>
      <w:r>
        <w:t xml:space="preserve">repository and have</w:t>
      </w:r>
      <w:r>
        <w:t xml:space="preserve"> </w:t>
      </w:r>
      <w:r>
        <w:t xml:space="preserve">refit all 21 A- and B-series configurations from the supplied inputs.</w:t>
      </w:r>
    </w:p>
    <w:p>
      <w:pPr>
        <w:pStyle w:val="BodyText"/>
      </w:pPr>
      <w:r>
        <w:t xml:space="preserve">We have worked through the Research Document, so this is a short list.</w:t>
      </w:r>
      <w:r>
        <w:t xml:space="preserve"> </w:t>
      </w:r>
      <w:r>
        <w:t xml:space="preserve">Most of what we initially wanted is documented there.</w:t>
      </w:r>
    </w:p>
    <w:bookmarkStart w:id="9" w:name="the-build"/>
    <w:p>
      <w:pPr>
        <w:pStyle w:val="Heading2"/>
      </w:pPr>
      <w:r>
        <w:t xml:space="preserve">1. The build</w:t>
      </w:r>
    </w:p>
    <w:p>
      <w:pPr>
        <w:pStyle w:val="FirstParagraph"/>
      </w:pPr>
      <w:r>
        <w:t xml:space="preserve">Was the published work run on a standard release build, or a custom</w:t>
      </w:r>
      <w:r>
        <w:t xml:space="preserve"> </w:t>
      </w:r>
      <w:r>
        <w:t xml:space="preserve">compilation? If custom, could you send the</w:t>
      </w:r>
      <w:r>
        <w:t xml:space="preserve"> </w:t>
      </w:r>
      <w:r>
        <w:rPr>
          <w:rStyle w:val="VerbatimChar"/>
        </w:rPr>
        <w:t xml:space="preserve">.tpl</w:t>
      </w:r>
      <w:r>
        <w:t xml:space="preserve"> </w:t>
      </w:r>
      <w:r>
        <w:t xml:space="preserve">source, or simply a</w:t>
      </w:r>
      <w:r>
        <w:t xml:space="preserve"> </w:t>
      </w:r>
      <w:r>
        <w:t xml:space="preserve">diff against the v3.30.22.1 release source? We would rather compile</w:t>
      </w:r>
      <w:r>
        <w:t xml:space="preserve"> </w:t>
      </w:r>
      <w:r>
        <w:t xml:space="preserve">locally than depend on a platform-specific binary, and a diff would</w:t>
      </w:r>
      <w:r>
        <w:t xml:space="preserve"> </w:t>
      </w:r>
      <w:r>
        <w:t xml:space="preserve">likely answer the question without either of us building anything.</w:t>
      </w:r>
    </w:p>
    <w:p>
      <w:pPr>
        <w:pStyle w:val="BodyText"/>
      </w:pPr>
      <w:r>
        <w:t xml:space="preserve">We ask because the repository is inconsistent on version:</w:t>
      </w:r>
      <w:r>
        <w:t xml:space="preserve"> </w:t>
      </w:r>
      <w:r>
        <w:rPr>
          <w:rStyle w:val="VerbatimChar"/>
        </w:rPr>
        <w:t xml:space="preserve">ss3/Notes.md</w:t>
      </w:r>
      <w:r>
        <w:t xml:space="preserve"> </w:t>
      </w:r>
      <w:r>
        <w:t xml:space="preserve">names 3.30.21.1 but links the 3.30.22.1 release,</w:t>
      </w:r>
      <w:r>
        <w:t xml:space="preserve"> </w:t>
      </w:r>
      <w:r>
        <w:rPr>
          <w:rStyle w:val="VerbatimChar"/>
        </w:rPr>
        <w:t xml:space="preserve">02-outside-ss3-r4ss.R</w:t>
      </w:r>
      <w:r>
        <w:t xml:space="preserve"> </w:t>
      </w:r>
      <w:r>
        <w:t xml:space="preserve">names 3.30.22.1, and the official 3.30.22.1 binary self-reports as</w:t>
      </w:r>
      <w:r>
        <w:t xml:space="preserve"> </w:t>
      </w:r>
      <w:r>
        <w:rPr>
          <w:rStyle w:val="VerbatimChar"/>
        </w:rPr>
        <w:t xml:space="preserve">3.30.22.beta</w:t>
      </w:r>
      <w:r>
        <w:t xml:space="preserve">. The fitting script also mentions</w:t>
      </w:r>
      <w:r>
        <w:t xml:space="preserve"> </w:t>
      </w:r>
      <w:r>
        <w:t xml:space="preserve">“a custom compilation</w:t>
      </w:r>
      <w:r>
        <w:t xml:space="preserve"> </w:t>
      </w:r>
      <w:r>
        <w:t xml:space="preserve">that fixes lognormal prior density function if necessary”</w:t>
      </w:r>
      <w:r>
        <w:t xml:space="preserve">.</w:t>
      </w:r>
    </w:p>
    <w:p>
      <w:pPr>
        <w:pStyle w:val="BodyText"/>
      </w:pPr>
      <w:r>
        <w:t xml:space="preserve">For what it is worth we have checked, and that particular fix cannot</w:t>
      </w:r>
      <w:r>
        <w:t xml:space="preserve"> </w:t>
      </w:r>
      <w:r>
        <w:t xml:space="preserve">affect these models: none of the 21 configurations uses a lognormal</w:t>
      </w:r>
      <w:r>
        <w:t xml:space="preserve"> </w:t>
      </w:r>
      <w:r>
        <w:t xml:space="preserve">prior. Every prior is absent, CASAL’s beta, or normal. A one-line</w:t>
      </w:r>
      <w:r>
        <w:t xml:space="preserve"> </w:t>
      </w:r>
      <w:r>
        <w:t xml:space="preserve">confirmation either way would be enough.</w:t>
      </w:r>
    </w:p>
    <w:bookmarkEnd w:id="9"/>
    <w:bookmarkStart w:id="10" w:name="fitted-outputs"/>
    <w:p>
      <w:pPr>
        <w:pStyle w:val="Heading2"/>
      </w:pPr>
      <w:r>
        <w:t xml:space="preserve">2. Fitted outputs</w:t>
      </w:r>
    </w:p>
    <w:p>
      <w:pPr>
        <w:pStyle w:val="FirstParagraph"/>
      </w:pPr>
      <w:r>
        <w:t xml:space="preserve">The complete final output directory for A0 –</w:t>
      </w:r>
      <w:r>
        <w:t xml:space="preserve"> </w:t>
      </w:r>
      <w:r>
        <w:rPr>
          <w:rStyle w:val="VerbatimChar"/>
        </w:rPr>
        <w:t xml:space="preserve">Report.sso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CompReport.sso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warning.sso</w:t>
      </w:r>
      <w:r>
        <w:t xml:space="preserve">,</w:t>
      </w:r>
      <w:r>
        <w:t xml:space="preserve"> </w:t>
      </w:r>
      <w:r>
        <w:rPr>
          <w:rStyle w:val="VerbatimChar"/>
        </w:rPr>
        <w:t xml:space="preserve">ss.par</w:t>
      </w:r>
      <w:r>
        <w:t xml:space="preserve">,</w:t>
      </w:r>
      <w:r>
        <w:t xml:space="preserve"> </w:t>
      </w:r>
      <w:r>
        <w:rPr>
          <w:rStyle w:val="VerbatimChar"/>
        </w:rPr>
        <w:t xml:space="preserve">covar.sso</w:t>
      </w:r>
      <w:r>
        <w:t xml:space="preserve">,</w:t>
      </w:r>
      <w:r>
        <w:t xml:space="preserve"> </w:t>
      </w:r>
      <w:r>
        <w:rPr>
          <w:rStyle w:val="VerbatimChar"/>
        </w:rPr>
        <w:t xml:space="preserve">ss_summary.sso</w:t>
      </w:r>
      <w:r>
        <w:t xml:space="preserve">,</w:t>
      </w:r>
      <w:r>
        <w:t xml:space="preserve"> </w:t>
      </w:r>
      <w:r>
        <w:rPr>
          <w:rStyle w:val="VerbatimChar"/>
        </w:rPr>
        <w:t xml:space="preserve">Forecast-report.sso</w:t>
      </w:r>
      <w:r>
        <w:t xml:space="preserve"> </w:t>
      </w:r>
      <w:r>
        <w:t xml:space="preserve">– and the equivalents for the sensitivity runs,</w:t>
      </w:r>
      <w:r>
        <w:t xml:space="preserve"> </w:t>
      </w:r>
      <w:r>
        <w:t xml:space="preserve">profiles and retrospectives where they exist.</w:t>
      </w:r>
    </w:p>
    <w:p>
      <w:pPr>
        <w:pStyle w:val="BodyText"/>
      </w:pPr>
      <w:r>
        <w:t xml:space="preserve">Our A0 converges and returns 2023 S/S0 of 0.086 (SD 0.005), consistent</w:t>
      </w:r>
      <w:r>
        <w:t xml:space="preserve"> </w:t>
      </w:r>
      <w:r>
        <w:t xml:space="preserve">with the published 0.09 and CI of 0.08-0.09. But we cannot describe that</w:t>
      </w:r>
      <w:r>
        <w:t xml:space="preserve"> </w:t>
      </w:r>
      <w:r>
        <w:t xml:space="preserve">as reproducing your model without comparing likelihood components, the</w:t>
      </w:r>
      <w:r>
        <w:t xml:space="preserve"> </w:t>
      </w:r>
      <w:r>
        <w:t xml:space="preserve">parameter vector, warnings and gradients.</w:t>
      </w:r>
    </w:p>
    <w:bookmarkEnd w:id="10"/>
    <w:bookmarkStart w:id="11" w:name="Xa1284a30f7ba1679ce14b81bf9a2faab962541d"/>
    <w:p>
      <w:pPr>
        <w:pStyle w:val="Heading2"/>
      </w:pPr>
      <w:r>
        <w:t xml:space="preserve">3. The MCMC output for A1 and B2, and one observation behind it</w:t>
      </w:r>
    </w:p>
    <w:p>
      <w:pPr>
        <w:pStyle w:val="FirstParagraph"/>
      </w:pPr>
      <w:r>
        <w:t xml:space="preserve">This is our most specific request, and the reason for it is the one</w:t>
      </w:r>
      <w:r>
        <w:t xml:space="preserve"> </w:t>
      </w:r>
      <w:r>
        <w:t xml:space="preserve">substantive thing we have that is not in the Research Document.</w:t>
      </w:r>
    </w:p>
    <w:p>
      <w:pPr>
        <w:pStyle w:val="BodyText"/>
      </w:pPr>
      <w:r>
        <w:t xml:space="preserve">Section 3.3 states that models were assessed as converged when the</w:t>
      </w:r>
      <w:r>
        <w:t xml:space="preserve"> </w:t>
      </w:r>
      <w:r>
        <w:t xml:space="preserve">maximum absolute log-likelihood gradient was &lt; 0.0001 and the Hessian was</w:t>
      </w:r>
      <w:r>
        <w:t xml:space="preserve"> </w:t>
      </w:r>
      <w:r>
        <w:t xml:space="preserve">invertible. We have multi-started every configuration – 11 starts each</w:t>
      </w:r>
      <w:r>
        <w:t xml:space="preserve"> </w:t>
      </w:r>
      <w:r>
        <w:t xml:space="preserve">for the published models, 21 for our own diagnostics, jittered by 10% of</w:t>
      </w:r>
      <w:r>
        <w:t xml:space="preserve"> </w:t>
      </w:r>
      <w:r>
        <w:t xml:space="preserve">each estimated parameter’s bounded range – and we find that this</w:t>
      </w:r>
      <w:r>
        <w:t xml:space="preserve"> </w:t>
      </w:r>
      <w:r>
        <w:t xml:space="preserve">criterion does not discriminate on this likelihood surface.</w:t>
      </w:r>
    </w:p>
    <w:p>
      <w:pPr>
        <w:pStyle w:val="BodyText"/>
      </w:pPr>
      <w:r>
        <w:t xml:space="preserve">Eleven of the 21 published configurations reach, from the supplied</w:t>
      </w:r>
      <w:r>
        <w:t xml:space="preserve"> </w:t>
      </w:r>
      <w:r>
        <w:t xml:space="preserve">initial values, an optimum more than 10 likelihood units above the best</w:t>
      </w:r>
      <w:r>
        <w:t xml:space="preserve"> </w:t>
      </w:r>
      <w:r>
        <w:t xml:space="preserve">we can find for the same configuration. Three are roughly 650 units</w:t>
      </w:r>
      <w:r>
        <w:t xml:space="preserve"> </w:t>
      </w:r>
      <w:r>
        <w:t xml:space="preserve">above: B2, B4 and A13. Every one of those poor optima satisfies your</w:t>
      </w:r>
      <w:r>
        <w:t xml:space="preserve"> </w:t>
      </w:r>
      <w:r>
        <w:t xml:space="preserve">stated criterion – small gradient, invertible Hessian, no parameters at</w:t>
      </w:r>
      <w:r>
        <w:t xml:space="preserve"> </w:t>
      </w:r>
      <w:r>
        <w:t xml:space="preserve">bounds. The penalty is almost entirely in the length compositions; B2’s</w:t>
      </w:r>
      <w:r>
        <w:t xml:space="preserve"> </w:t>
      </w:r>
      <w:r>
        <w:t xml:space="preserve">composition likelihood falls from 1194.0 to 537.9 at the better optimum.</w:t>
      </w:r>
    </w:p>
    <w:p>
      <w:pPr>
        <w:pStyle w:val="BodyText"/>
      </w:pPr>
      <w:r>
        <w:t xml:space="preserve">We want to be clear about what this does and does not mean. Estimated</w:t>
      </w:r>
      <w:r>
        <w:t xml:space="preserve"> </w:t>
      </w:r>
      <w:r>
        <w:t xml:space="preserve">status is almost unaffected: across all 21 configurations the largest</w:t>
      </w:r>
      <w:r>
        <w:t xml:space="preserve"> </w:t>
      </w:r>
      <w:r>
        <w:t xml:space="preserve">change in 2023 S/S0 between the supplied start and the better optimum is</w:t>
      </w:r>
      <w:r>
        <w:t xml:space="preserve"> </w:t>
      </w:r>
      <w:r>
        <w:t xml:space="preserve">0.022, and most are 0.000.</w:t>
      </w:r>
      <w:r>
        <w:t xml:space="preserve"> </w:t>
      </w:r>
      <w:r>
        <w:rPr>
          <w:b/>
          <w:bCs/>
        </w:rPr>
        <w:t xml:space="preserve">This does not appear to affect the stock</w:t>
      </w:r>
      <w:r>
        <w:rPr>
          <w:b/>
          <w:bCs/>
        </w:rPr>
        <w:t xml:space="preserve"> </w:t>
      </w:r>
      <w:r>
        <w:rPr>
          <w:b/>
          <w:bCs/>
        </w:rPr>
        <w:t xml:space="preserve">status conclusions in the Research Document.</w:t>
      </w:r>
      <w:r>
        <w:t xml:space="preserve"> </w:t>
      </w:r>
      <w:r>
        <w:t xml:space="preserve">It bears on composition</w:t>
      </w:r>
      <w:r>
        <w:t xml:space="preserve"> </w:t>
      </w:r>
      <w:r>
        <w:t xml:space="preserve">fits, residual diagnostics, and any comparison between models made on</w:t>
      </w:r>
      <w:r>
        <w:t xml:space="preserve"> </w:t>
      </w:r>
      <w:r>
        <w:t xml:space="preserve">likelihood.</w:t>
      </w:r>
    </w:p>
    <w:p>
      <w:pPr>
        <w:pStyle w:val="BodyText"/>
      </w:pPr>
      <w:r>
        <w:t xml:space="preserve">Which brings us to the request. B2 is both one of the three largest</w:t>
      </w:r>
      <w:r>
        <w:t xml:space="preserve"> </w:t>
      </w:r>
      <w:r>
        <w:t xml:space="preserve">penalties and one of only two models you sampled with MCMC. The</w:t>
      </w:r>
      <w:r>
        <w:t xml:space="preserve"> </w:t>
      </w:r>
      <w:r>
        <w:t xml:space="preserve">posterior samples and log-posterior traces for B2 would tell us a great</w:t>
      </w:r>
      <w:r>
        <w:t xml:space="preserve"> </w:t>
      </w:r>
      <w:r>
        <w:t xml:space="preserve">deal: if the chains explored the better mode, the trace would show it and</w:t>
      </w:r>
      <w:r>
        <w:t xml:space="preserve"> </w:t>
      </w:r>
      <w:r>
        <w:t xml:space="preserve">our concern is substantially reduced; if they stayed in the neighbourhood</w:t>
      </w:r>
      <w:r>
        <w:t xml:space="preserve"> </w:t>
      </w:r>
      <w:r>
        <w:t xml:space="preserve">of the MLE start, the posterior is centred on a mode roughly 650</w:t>
      </w:r>
      <w:r>
        <w:t xml:space="preserve"> </w:t>
      </w:r>
      <w:r>
        <w:t xml:space="preserve">likelihood units above another one. Either way that is more informative</w:t>
      </w:r>
      <w:r>
        <w:t xml:space="preserve"> </w:t>
      </w:r>
      <w:r>
        <w:t xml:space="preserve">than anything we can compute from inputs alone.</w:t>
      </w:r>
    </w:p>
    <w:p>
      <w:pPr>
        <w:pStyle w:val="BodyText"/>
      </w:pPr>
      <w:r>
        <w:t xml:space="preserve">If the raw</w:t>
      </w:r>
      <w:r>
        <w:t xml:space="preserve"> </w:t>
      </w:r>
      <w:r>
        <w:rPr>
          <w:rStyle w:val="VerbatimChar"/>
        </w:rPr>
        <w:t xml:space="preserve">adnuts</w:t>
      </w:r>
      <w:r>
        <w:t xml:space="preserve"> </w:t>
      </w:r>
      <w:r>
        <w:t xml:space="preserve">output or the posterior files still exist, those</w:t>
      </w:r>
      <w:r>
        <w:t xml:space="preserve"> </w:t>
      </w:r>
      <w:r>
        <w:t xml:space="preserve">would be ideal.</w:t>
      </w:r>
    </w:p>
    <w:bookmarkEnd w:id="11"/>
    <w:bookmarkStart w:id="12" w:name="biological-data"/>
    <w:p>
      <w:pPr>
        <w:pStyle w:val="Heading2"/>
      </w:pPr>
      <w:r>
        <w:t xml:space="preserve">4. Biological data</w:t>
      </w:r>
    </w:p>
    <w:p>
      <w:pPr>
        <w:pStyle w:val="FirstParagraph"/>
      </w:pPr>
      <w:r>
        <w:t xml:space="preserve">We hold</w:t>
      </w:r>
      <w:r>
        <w:t xml:space="preserve"> </w:t>
      </w:r>
      <w:r>
        <w:rPr>
          <w:rStyle w:val="VerbatimChar"/>
        </w:rPr>
        <w:t xml:space="preserve">survey-samples.rds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commercial-samples.rds</w:t>
      </w:r>
      <w:r>
        <w:t xml:space="preserve">. Two items from</w:t>
      </w:r>
      <w:r>
        <w:t xml:space="preserve"> </w:t>
      </w:r>
      <w:r>
        <w:t xml:space="preserve">the reviewer’s list remain outstanding:</w:t>
      </w:r>
    </w:p>
    <w:p>
      <w:pPr>
        <w:pStyle w:val="Compact"/>
        <w:numPr>
          <w:ilvl w:val="0"/>
          <w:numId w:val="1001"/>
        </w:numPr>
      </w:pPr>
      <w:r>
        <w:t xml:space="preserve">Joint age-length-maturity-reproductive records with sample provenance.</w:t>
      </w:r>
    </w:p>
    <w:p>
      <w:pPr>
        <w:pStyle w:val="Compact"/>
        <w:numPr>
          <w:ilvl w:val="0"/>
          <w:numId w:val="1001"/>
        </w:numPr>
      </w:pPr>
      <w:r>
        <w:t xml:space="preserve">Fleet documentation for discard sampling and retention, beyond the</w:t>
      </w:r>
      <w:r>
        <w:t xml:space="preserve"> </w:t>
      </w:r>
      <w:r>
        <w:t xml:space="preserve">Courtney (2014) rates already given in Section 2.1.</w:t>
      </w:r>
    </w:p>
    <w:p>
      <w:pPr>
        <w:pStyle w:val="FirstParagraph"/>
      </w:pPr>
      <w:r>
        <w:t xml:space="preserve">We are requesting the midwater trawl commercial biological samples</w:t>
      </w:r>
      <w:r>
        <w:t xml:space="preserve"> </w:t>
      </w:r>
      <w:r>
        <w:t xml:space="preserve">separately through the Groundfish Data Unit; no action needed from you.</w:t>
      </w:r>
    </w:p>
    <w:bookmarkEnd w:id="12"/>
    <w:bookmarkStart w:id="13" w:name="one-thing-you-may-want-to-know"/>
    <w:p>
      <w:pPr>
        <w:pStyle w:val="Heading2"/>
      </w:pPr>
      <w:r>
        <w:t xml:space="preserve">One thing you may want to know</w:t>
      </w:r>
    </w:p>
    <w:p>
      <w:pPr>
        <w:pStyle w:val="FirstParagraph"/>
      </w:pPr>
      <w:r>
        <w:t xml:space="preserve">The review raised the possibility that the numeric sex codes in the</w:t>
      </w:r>
      <w:r>
        <w:t xml:space="preserve"> </w:t>
      </w:r>
      <w:r>
        <w:t xml:space="preserve">composition inputs were reversed, which would have required the</w:t>
      </w:r>
      <w:r>
        <w:t xml:space="preserve"> </w:t>
      </w:r>
      <w:r>
        <w:t xml:space="preserve">compositions and base model to be rebuilt. We have audited it and they</w:t>
      </w:r>
      <w:r>
        <w:t xml:space="preserve"> </w:t>
      </w:r>
      <w:r>
        <w:t xml:space="preserve">are not reversed. The codes are correct as used, confirmed against the</w:t>
      </w:r>
      <w:r>
        <w:t xml:space="preserve"> </w:t>
      </w:r>
      <w:r>
        <w:t xml:space="preserve">DFO groundfish data dictionary published on open.canada.ca and against</w:t>
      </w:r>
      <w:r>
        <w:t xml:space="preserve"> </w:t>
      </w:r>
      <w:r>
        <w:t xml:space="preserve">several independent lines of evidence in the data. We mention it so the</w:t>
      </w:r>
      <w:r>
        <w:t xml:space="preserve"> </w:t>
      </w:r>
      <w:r>
        <w:t xml:space="preserve">question does not reach you second-hand as an open concern.</w:t>
      </w:r>
    </w:p>
    <w:p>
      <w:pPr>
        <w:pStyle w:val="BodyText"/>
      </w:pPr>
      <w:r>
        <w:t xml:space="preserve">We also reproduce your A8 finding: fitting to the HBLL Outside index</w:t>
      </w:r>
      <w:r>
        <w:t xml:space="preserve"> </w:t>
      </w:r>
      <w:r>
        <w:t xml:space="preserve">alone gives 2023 S/S0 of 0.997 with a standard deviation of 0.000 and</w:t>
      </w:r>
      <w:r>
        <w:t xml:space="preserve"> </w:t>
      </w:r>
      <w:r>
        <w:t xml:space="preserve">unfished spawning output of 1.08e7. Consistent with your note that it had</w:t>
      </w:r>
      <w:r>
        <w:t xml:space="preserve"> </w:t>
      </w:r>
      <w:r>
        <w:t xml:space="preserve">convergence issues you could not resolve.</w:t>
      </w:r>
    </w:p>
    <w:p>
      <w:pPr>
        <w:pStyle w:val="BodyText"/>
      </w:pPr>
      <w:r>
        <w:t xml:space="preserve">Happy to take any of this on a call if that is easier than assembling</w:t>
      </w:r>
      <w:r>
        <w:t xml:space="preserve"> </w:t>
      </w:r>
      <w:r>
        <w:t xml:space="preserve">files.</w:t>
      </w:r>
    </w:p>
    <w:p>
      <w:pPr>
        <w:pStyle w:val="BodyText"/>
      </w:pPr>
      <w:r>
        <w:t xml:space="preserve">Best regards,</w:t>
      </w:r>
    </w:p>
    <w:p>
      <w:pPr>
        <w:pStyle w:val="BodyText"/>
      </w:pPr>
      <w:r>
        <w:t xml:space="preserve">Samuel Johnson</w:t>
      </w:r>
      <w:r>
        <w:t xml:space="preserve"> </w:t>
      </w:r>
      <w:r>
        <w:t xml:space="preserve">Landmark Fisheries Research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2026-08-31T18:38:12Z</dcterms:created>
  <dcterms:modified xsi:type="dcterms:W3CDTF">2026-08-31T18:38:12Z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