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d8c342c6eacb9b5bc0775b4b1c2fcb6d30a725"/>
    <w:p>
      <w:pPr>
        <w:pStyle w:val="Heading1"/>
      </w:pPr>
      <w:r>
        <w:t xml:space="preserve">Sex-code audit: results for Interim Review Report 1 (S.5, S.11)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Sean Cox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S.D.N. Johnson, Landmark Fisheries Research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25 August 2026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Outside Pacific Spiny Dogfish – verification of the numeric</w:t>
      </w:r>
      <w:r>
        <w:t xml:space="preserve"> </w:t>
      </w:r>
      <w:r>
        <w:t xml:space="preserve">sex-code dictionary, and disposition of the S.11 run gate</w:t>
      </w:r>
    </w:p>
    <w:p>
      <w:r>
        <w:pict>
          <v:rect style="width:0;height:1.5pt" o:hralign="center" o:hrstd="t" o:hr="t"/>
        </w:pict>
      </w:r>
    </w:p>
    <w:bookmarkStart w:id="9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The numeric sex codes are correct as used. Code 1 is male and code 2 is</w:t>
      </w:r>
      <w:r>
        <w:t xml:space="preserve"> </w:t>
      </w:r>
      <w:r>
        <w:t xml:space="preserve">female, confirmed against the authoritative DFO data dictionary published</w:t>
      </w:r>
      <w:r>
        <w:t xml:space="preserve"> </w:t>
      </w:r>
      <w:r>
        <w:t xml:space="preserve">on the Government of Canada open data portal. The composition inputs to</w:t>
      </w:r>
      <w:r>
        <w:t xml:space="preserve"> </w:t>
      </w:r>
      <w:r>
        <w:t xml:space="preserve">A0 are not reversed, and the run gate in S.11 can be lifted.</w:t>
      </w:r>
    </w:p>
    <w:p>
      <w:pPr>
        <w:pStyle w:val="BodyText"/>
      </w:pPr>
      <w:r>
        <w:t xml:space="preserve">The anomaly you identified is real, but it is not a coding artifact. It is</w:t>
      </w:r>
      <w:r>
        <w:t xml:space="preserve"> </w:t>
      </w:r>
      <w:r>
        <w:t xml:space="preserve">confined to the midwater trawl fleet, where it has a straightforward</w:t>
      </w:r>
      <w:r>
        <w:t xml:space="preserve"> </w:t>
      </w:r>
      <w:r>
        <w:t xml:space="preserve">reading as size-selective availability. The separate structural concern</w:t>
      </w:r>
      <w:r>
        <w:t xml:space="preserve"> </w:t>
      </w:r>
      <w:r>
        <w:t xml:space="preserve">raised in the first paragraph of S.5 – whether strongly sex-specific</w:t>
      </w:r>
      <w:r>
        <w:t xml:space="preserve"> </w:t>
      </w:r>
      <w:r>
        <w:t xml:space="preserve">selectivity is necessary – is unaffected by this result and in our view</w:t>
      </w:r>
      <w:r>
        <w:t xml:space="preserve"> </w:t>
      </w:r>
      <w:r>
        <w:t xml:space="preserve">remains the more consequential question.</w:t>
      </w:r>
    </w:p>
    <w:bookmarkEnd w:id="9"/>
    <w:bookmarkStart w:id="10" w:name="what-was-tested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Your S.5 required audit asked for the sex codes to be traced from raw</w:t>
      </w:r>
      <w:r>
        <w:t xml:space="preserve"> </w:t>
      </w:r>
      <w:r>
        <w:t xml:space="preserve">records through to the SS3 inputs, and for sex-specific means and</w:t>
      </w:r>
      <w:r>
        <w:t xml:space="preserve"> </w:t>
      </w:r>
      <w:r>
        <w:t xml:space="preserve">quantiles to be compared by dataset. The two files you were missing,</w:t>
      </w:r>
      <w:r>
        <w:t xml:space="preserve"> </w:t>
      </w:r>
      <w:r>
        <w:rPr>
          <w:rStyle w:val="VerbatimChar"/>
        </w:rPr>
        <w:t xml:space="preserve">survey-samples.rds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commercial-samples.rds</w:t>
      </w:r>
      <w:r>
        <w:t xml:space="preserve">, are present in the</w:t>
      </w:r>
      <w:r>
        <w:t xml:space="preserve"> </w:t>
      </w:r>
      <w:r>
        <w:t xml:space="preserve">repository we hold, so the trace could be completed. We also refit the</w:t>
      </w:r>
      <w:r>
        <w:t xml:space="preserve"> </w:t>
      </w:r>
      <w:r>
        <w:t xml:space="preserve">model under the reversal hypothesis to bound its consequence.</w:t>
      </w:r>
    </w:p>
    <w:bookmarkEnd w:id="10"/>
    <w:bookmarkStart w:id="19" w:name="evidence"/>
    <w:p>
      <w:pPr>
        <w:pStyle w:val="Heading2"/>
      </w:pPr>
      <w:r>
        <w:t xml:space="preserve">Evidence</w:t>
      </w:r>
    </w:p>
    <w:bookmarkStart w:id="11" w:name="the-authoritative-dictionary"/>
    <w:p>
      <w:pPr>
        <w:pStyle w:val="Heading3"/>
      </w:pPr>
      <w:r>
        <w:t xml:space="preserve">1. The authoritative dictionary</w:t>
      </w:r>
    </w:p>
    <w:p>
      <w:pPr>
        <w:pStyle w:val="FirstParagraph"/>
      </w:pPr>
      <w:r>
        <w:t xml:space="preserve">The DFO</w:t>
      </w:r>
      <w:r>
        <w:t xml:space="preserve"> </w:t>
      </w:r>
      <w:r>
        <w:t xml:space="preserve">“Groundfish Synoptic Bottom Trawl Surveys”</w:t>
      </w:r>
      <w:r>
        <w:t xml:space="preserve"> </w:t>
      </w:r>
      <w:r>
        <w:t xml:space="preserve">record on</w:t>
      </w:r>
      <w:r>
        <w:t xml:space="preserve"> </w:t>
      </w:r>
      <w:r>
        <w:t xml:space="preserve">open.canada.ca (dataset</w:t>
      </w:r>
      <w:r>
        <w:t xml:space="preserve"> </w:t>
      </w:r>
      <w:r>
        <w:rPr>
          <w:rStyle w:val="VerbatimChar"/>
        </w:rPr>
        <w:t xml:space="preserve">a278d1af-d567-4964-a109-ae1e84cbd24a</w:t>
      </w:r>
      <w:r>
        <w:t xml:space="preserve">) publishes a</w:t>
      </w:r>
      <w:r>
        <w:t xml:space="preserve"> </w:t>
      </w:r>
      <w:r>
        <w:t xml:space="preserve">data dictionary that defines the field directly:</w:t>
      </w:r>
    </w:p>
    <w:p>
      <w:pPr>
        <w:pStyle w:val="BlockText"/>
      </w:pPr>
      <w:r>
        <w:rPr>
          <w:b/>
          <w:bCs/>
        </w:rPr>
        <w:t xml:space="preserve">Sex</w:t>
      </w:r>
      <w:r>
        <w:t xml:space="preserve"> </w:t>
      </w:r>
      <w:r>
        <w:t xml:space="preserve">– Sex of the fish: 0 = not examined; 1 = male; 2 = female,</w:t>
      </w:r>
      <w:r>
        <w:t xml:space="preserve"> </w:t>
      </w:r>
      <w:r>
        <w:t xml:space="preserve">3 = unknown</w:t>
      </w:r>
    </w:p>
    <w:p>
      <w:pPr>
        <w:pStyle w:val="FirstParagraph"/>
      </w:pPr>
      <w:r>
        <w:t xml:space="preserve">This is the item listed as outstanding in your S.15. It matches the</w:t>
      </w:r>
      <w:r>
        <w:t xml:space="preserve"> </w:t>
      </w:r>
      <w:r>
        <w:t xml:space="preserve">assumption in</w:t>
      </w:r>
      <w:r>
        <w:t xml:space="preserve"> </w:t>
      </w:r>
      <w:r>
        <w:rPr>
          <w:rStyle w:val="VerbatimChar"/>
        </w:rPr>
        <w:t xml:space="preserve">ss3/01-outside-stock-synthesis-data.R</w:t>
      </w:r>
      <w:r>
        <w:t xml:space="preserve"> </w:t>
      </w:r>
      <w:r>
        <w:t xml:space="preserve">line 323</w:t>
      </w:r>
      <w:r>
        <w:t xml:space="preserve"> </w:t>
      </w:r>
      <w:r>
        <w:t xml:space="preserve">(</w:t>
      </w:r>
      <w:r>
        <w:rPr>
          <w:rStyle w:val="VerbatimChar"/>
        </w:rPr>
        <w:t xml:space="preserve">sex = ifelse(sex == 1, "M", "F")</w:t>
      </w:r>
      <w:r>
        <w:t xml:space="preserve">) exactly. It is also consistent with</w:t>
      </w:r>
      <w:r>
        <w:t xml:space="preserve"> </w:t>
      </w:r>
      <w:r>
        <w:t xml:space="preserve">the code frequencies in the raw file, which include the rare 0 and 3</w:t>
      </w:r>
      <w:r>
        <w:t xml:space="preserve"> </w:t>
      </w:r>
      <w:r>
        <w:t xml:space="preserve">categories the dictionary describes (0: 525; 1: 86,783; 2: 62,914; 3: 25;</w:t>
      </w:r>
      <w:r>
        <w:t xml:space="preserve"> </w:t>
      </w:r>
      <w:r>
        <w:t xml:space="preserve">missing: 706).</w:t>
      </w:r>
    </w:p>
    <w:bookmarkEnd w:id="11"/>
    <w:bookmarkStart w:id="12" w:name="X9a3acf36dcec22996d036c145c6386cb813469c"/>
    <w:p>
      <w:pPr>
        <w:pStyle w:val="Heading3"/>
      </w:pPr>
      <w:r>
        <w:t xml:space="preserve">2. The published data reproduce the repository extraction</w:t>
      </w:r>
    </w:p>
    <w:p>
      <w:pPr>
        <w:pStyle w:val="FirstParagraph"/>
      </w:pPr>
      <w:r>
        <w:t xml:space="preserve">The portal also publishes specimen-level biology. Queen Charlotte Sound</w:t>
      </w:r>
      <w:r>
        <w:t xml:space="preserve"> </w:t>
      </w:r>
      <w:r>
        <w:t xml:space="preserve">dogfish records, compared against the same survey in the repository copy: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sex 1: n, mean, q95, max</w:t>
            </w:r>
          </w:p>
        </w:tc>
        <w:tc>
          <w:tcPr/>
          <w:p>
            <w:pPr>
              <w:pStyle w:val="Compact"/>
            </w:pPr>
            <w:r>
              <w:t xml:space="preserve">sex 2: n, mean, q95,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data portal</w:t>
            </w:r>
          </w:p>
        </w:tc>
        <w:tc>
          <w:tcPr/>
          <w:p>
            <w:pPr>
              <w:pStyle w:val="Compact"/>
            </w:pPr>
            <w:r>
              <w:t xml:space="preserve">2920, 70.1, 85, 99</w:t>
            </w:r>
          </w:p>
        </w:tc>
        <w:tc>
          <w:tcPr/>
          <w:p>
            <w:pPr>
              <w:pStyle w:val="Compact"/>
            </w:pPr>
            <w:r>
              <w:t xml:space="preserve">1531, 64.4, 82, 118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survey-samples.rds</w:t>
            </w:r>
          </w:p>
        </w:tc>
        <w:tc>
          <w:tcPr/>
          <w:p>
            <w:pPr>
              <w:pStyle w:val="Compact"/>
            </w:pPr>
            <w:r>
              <w:t xml:space="preserve">3156, 69.9, 85, 99</w:t>
            </w:r>
          </w:p>
        </w:tc>
        <w:tc>
          <w:tcPr/>
          <w:p>
            <w:pPr>
              <w:pStyle w:val="Compact"/>
            </w:pPr>
            <w:r>
              <w:t xml:space="preserve">1681, 63.9, 81, 118</w:t>
            </w:r>
          </w:p>
        </w:tc>
      </w:tr>
    </w:tbl>
    <w:p>
      <w:pPr>
        <w:pStyle w:val="BodyText"/>
      </w:pPr>
      <w:r>
        <w:t xml:space="preserve">Lengths in cm. Small count differences reflect usability-code filtering.</w:t>
      </w:r>
      <w:r>
        <w:t xml:space="preserve"> </w:t>
      </w:r>
      <w:r>
        <w:t xml:space="preserve">The two sources agree, so the GFBio extraction is faithful.</w:t>
      </w:r>
    </w:p>
    <w:bookmarkEnd w:id="12"/>
    <w:bookmarkStart w:id="13" w:name="Xc7c634a7955a69be42b1a64e79809b41fb0b2a7"/>
    <w:p>
      <w:pPr>
        <w:pStyle w:val="Heading3"/>
      </w:pPr>
      <w:r>
        <w:t xml:space="preserve">3. Cross-check against unambiguous character codes</w:t>
      </w:r>
    </w:p>
    <w:p>
      <w:pPr>
        <w:pStyle w:val="FirstParagraph"/>
      </w:pPr>
      <w:r>
        <w:t xml:space="preserve">The IPHC length file carries character codes (</w:t>
      </w:r>
      <w:r>
        <w:rPr>
          <w:rStyle w:val="VerbatimChar"/>
        </w:rPr>
        <w:t xml:space="preserve">"F"</w:t>
      </w:r>
      <w:r>
        <w:t xml:space="preserve">,</w:t>
      </w:r>
      <w:r>
        <w:t xml:space="preserve"> </w:t>
      </w:r>
      <w:r>
        <w:rPr>
          <w:rStyle w:val="VerbatimChar"/>
        </w:rPr>
        <w:t xml:space="preserve">"M"</w:t>
      </w:r>
      <w:r>
        <w:t xml:space="preserve">) and so does</w:t>
      </w:r>
      <w:r>
        <w:t xml:space="preserve"> </w:t>
      </w:r>
      <w:r>
        <w:t xml:space="preserve">not depend on the numeric dictionary at all. Numeric code 2 tracks IPHC</w:t>
      </w:r>
      <w:r>
        <w:t xml:space="preserve"> </w:t>
      </w:r>
      <w:r>
        <w:t xml:space="preserve">“F”</w:t>
      </w:r>
      <w:r>
        <w:t xml:space="preserve"> </w:t>
      </w:r>
      <w:r>
        <w:t xml:space="preserve">and code 1 tracks</w:t>
      </w:r>
      <w:r>
        <w:t xml:space="preserve"> </w:t>
      </w:r>
      <w:r>
        <w:t xml:space="preserve">“M”</w:t>
      </w:r>
      <w:r>
        <w:t xml:space="preserve"> </w:t>
      </w:r>
      <w:r>
        <w:t xml:space="preserve">in every gear: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 mean</w:t>
            </w:r>
          </w:p>
        </w:tc>
        <w:tc>
          <w:tcPr/>
          <w:p>
            <w:pPr>
              <w:pStyle w:val="Compact"/>
            </w:pPr>
            <w:r>
              <w:t xml:space="preserve">F q95</w:t>
            </w:r>
          </w:p>
        </w:tc>
        <w:tc>
          <w:tcPr/>
          <w:p>
            <w:pPr>
              <w:pStyle w:val="Compact"/>
            </w:pPr>
            <w:r>
              <w:t xml:space="preserve">F max</w:t>
            </w:r>
          </w:p>
        </w:tc>
        <w:tc>
          <w:tcPr/>
          <w:p>
            <w:pPr>
              <w:pStyle w:val="Compact"/>
            </w:pPr>
            <w:r>
              <w:t xml:space="preserve">M mean</w:t>
            </w:r>
          </w:p>
        </w:tc>
        <w:tc>
          <w:tcPr/>
          <w:p>
            <w:pPr>
              <w:pStyle w:val="Compact"/>
            </w:pPr>
            <w:r>
              <w:t xml:space="preserve">M q95</w:t>
            </w:r>
          </w:p>
        </w:tc>
        <w:tc>
          <w:tcPr/>
          <w:p>
            <w:pPr>
              <w:pStyle w:val="Compact"/>
            </w:pPr>
            <w:r>
              <w:t xml:space="preserve">M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IPHC (character codes)</w:t>
            </w:r>
          </w:p>
        </w:tc>
        <w:tc>
          <w:tcPr/>
          <w:p>
            <w:pPr>
              <w:pStyle w:val="Compact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(code 2 / 1)</w:t>
            </w:r>
          </w:p>
        </w:tc>
        <w:tc>
          <w:tcPr/>
          <w:p>
            <w:pPr>
              <w:pStyle w:val="Compact"/>
            </w:pPr>
            <w:r>
              <w:t xml:space="preserve">94.1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78.2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Longline (code 2 / 1)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82.3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</w:tbl>
    <w:bookmarkEnd w:id="13"/>
    <w:bookmarkStart w:id="14" w:name="the-maxima-never-invert"/>
    <w:p>
      <w:pPr>
        <w:pStyle w:val="Heading3"/>
      </w:pPr>
      <w:r>
        <w:t xml:space="preserve">4. The maxima never invert</w:t>
      </w:r>
    </w:p>
    <w:p>
      <w:pPr>
        <w:pStyle w:val="FirstParagraph"/>
      </w:pPr>
      <w:r>
        <w:t xml:space="preserve">Code 2 reaches 116-128 cm in every gear and survey; code 1 tops out at</w:t>
      </w:r>
      <w:r>
        <w:t xml:space="preserve"> </w:t>
      </w:r>
      <w:r>
        <w:t xml:space="preserve">99-115 cm. A label reversal flips an entire distribution, maximum</w:t>
      </w:r>
      <w:r>
        <w:t xml:space="preserve"> </w:t>
      </w:r>
      <w:r>
        <w:t xml:space="preserve">included. Here the maximum stays with code 2 even in the fleets where its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is smaller. That signature is not consistent with a swap. It is</w:t>
      </w:r>
      <w:r>
        <w:t xml:space="preserve"> </w:t>
      </w:r>
      <w:r>
        <w:t xml:space="preserve">consistent with females spanning a wider size range than males, which</w:t>
      </w:r>
      <w:r>
        <w:t xml:space="preserve"> </w:t>
      </w:r>
      <w:r>
        <w:t xml:space="preserve">mature small and stop growing.</w:t>
      </w:r>
    </w:p>
    <w:bookmarkEnd w:id="14"/>
    <w:bookmarkStart w:id="15" w:name="maturity-staging"/>
    <w:p>
      <w:pPr>
        <w:pStyle w:val="Heading3"/>
      </w:pPr>
      <w:r>
        <w:t xml:space="preserve">5. Maturity staging</w:t>
      </w:r>
    </w:p>
    <w:p>
      <w:pPr>
        <w:pStyle w:val="FirstParagraph"/>
      </w:pPr>
      <w:r>
        <w:t xml:space="preserve">Sex 1 is almost entirely a single maturity code (90, n = 13,738). Sex 2</w:t>
      </w:r>
      <w:r>
        <w:t xml:space="preserve"> </w:t>
      </w:r>
      <w:r>
        <w:t xml:space="preserve">carries the full staged ladder (50-56, 70-79, 95-99), which is the</w:t>
      </w:r>
      <w:r>
        <w:t xml:space="preserve"> </w:t>
      </w:r>
      <w:r>
        <w:t xml:space="preserve">gestation and uterus-condition staging that exists only for females.</w:t>
      </w:r>
    </w:p>
    <w:bookmarkEnd w:id="15"/>
    <w:bookmarkStart w:id="16" w:name="the-reversal-fits-materially-worse"/>
    <w:p>
      <w:pPr>
        <w:pStyle w:val="Heading3"/>
      </w:pPr>
      <w:r>
        <w:t xml:space="preserve">6. The reversal fits materially worse</w:t>
      </w:r>
    </w:p>
    <w:p>
      <w:pPr>
        <w:pStyle w:val="FirstParagraph"/>
      </w:pPr>
      <w:r>
        <w:t xml:space="preserve">We built</w:t>
      </w:r>
      <w:r>
        <w:t xml:space="preserve"> </w:t>
      </w:r>
      <w:r>
        <w:rPr>
          <w:rStyle w:val="VerbatimChar"/>
        </w:rPr>
        <w:t xml:space="preserve">S1_sexswap</w:t>
      </w:r>
      <w:r>
        <w:t xml:space="preserve"> </w:t>
      </w:r>
      <w:r>
        <w:t xml:space="preserve">by exchanging the 17 female and 17 male bins in all</w:t>
      </w:r>
      <w:r>
        <w:t xml:space="preserve"> </w:t>
      </w:r>
      <w:r>
        <w:t xml:space="preserve">73 length-composition rows of A0’s</w:t>
      </w:r>
      <w:r>
        <w:t xml:space="preserve"> </w:t>
      </w:r>
      <w:r>
        <w:rPr>
          <w:rStyle w:val="VerbatimChar"/>
        </w:rPr>
        <w:t xml:space="preserve">data.ss</w:t>
      </w:r>
      <w:r>
        <w:t xml:space="preserve">, confirmed no other part of</w:t>
      </w:r>
      <w:r>
        <w:t xml:space="preserve"> </w:t>
      </w:r>
      <w:r>
        <w:t xml:space="preserve">the file changed, and refit with the Hessian: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A0 (as coded)</w:t>
            </w:r>
          </w:p>
        </w:tc>
        <w:tc>
          <w:tcPr/>
          <w:p>
            <w:pPr>
              <w:pStyle w:val="Compact"/>
            </w:pPr>
            <w:r>
              <w:t xml:space="preserve">S1 (sexes swapped)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1007.8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871.5</w:t>
            </w:r>
          </w:p>
        </w:tc>
        <w:tc>
          <w:tcPr/>
          <w:p>
            <w:pPr>
              <w:pStyle w:val="Compact"/>
            </w:pPr>
            <w:r>
              <w:t xml:space="preserve">-51.0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priors</w:t>
            </w:r>
          </w:p>
        </w:tc>
        <w:tc>
          <w:tcPr/>
          <w:p>
            <w:pPr>
              <w:pStyle w:val="Compact"/>
            </w:pPr>
            <w:r>
              <w:t xml:space="preserve">52.7</w:t>
            </w:r>
          </w:p>
        </w:tc>
        <w:tc>
          <w:tcPr/>
          <w:p>
            <w:pPr>
              <w:pStyle w:val="Compact"/>
            </w:pPr>
            <w:r>
              <w:t xml:space="preserve">134.8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1646.4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2014.1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+367.7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Both fits are the best of 21 starts; see section 8 on why that matters.</w:t>
      </w:r>
    </w:p>
    <w:p>
      <w:pPr>
        <w:pStyle w:val="BodyText"/>
      </w:pPr>
      <w:r>
        <w:t xml:space="preserve">The mechanism is visible in the aggregate composition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review/figs/02-sexswap-comp-fits.png</w:t>
      </w:r>
      <w:r>
        <w:t xml:space="preserve">). The swap requires large numbers</w:t>
      </w:r>
      <w:r>
        <w:t xml:space="preserve"> </w:t>
      </w:r>
      <w:r>
        <w:t xml:space="preserve">of males at 95-105 cm in the landings fleets, against a male asymptotic</w:t>
      </w:r>
      <w:r>
        <w:t xml:space="preserve"> </w:t>
      </w:r>
      <w:r>
        <w:t xml:space="preserve">length of roughly 84 cm and a female value of 97.4 cm. The model cannot</w:t>
      </w:r>
      <w:r>
        <w:t xml:space="preserve"> </w:t>
      </w:r>
      <w:r>
        <w:t xml:space="preserve">reach that, so the compositions misfit and selectivity is driven hard</w:t>
      </w:r>
      <w:r>
        <w:t xml:space="preserve"> </w:t>
      </w:r>
      <w:r>
        <w:t xml:space="preserve">against its priors – the contortion anticipated in S.5, but appearing in</w:t>
      </w:r>
      <w:r>
        <w:t xml:space="preserve"> </w:t>
      </w:r>
      <w:r>
        <w:t xml:space="preserve">the swapped configuration rather than the base.</w:t>
      </w:r>
    </w:p>
    <w:bookmarkEnd w:id="16"/>
    <w:bookmarkStart w:id="17" w:name="X23c8449cfeab6e8e7674f547492ec74ec1cf344"/>
    <w:p>
      <w:pPr>
        <w:pStyle w:val="Heading3"/>
      </w:pPr>
      <w:r>
        <w:t xml:space="preserve">7. The direction is inconsistent across fleets</w:t>
      </w:r>
    </w:p>
    <w:p>
      <w:pPr>
        <w:pStyle w:val="FirstParagraph"/>
      </w:pPr>
      <w:r>
        <w:t xml:space="preserve">Mean observed length by sex in A0’s own compositions, aggregated over</w:t>
      </w:r>
      <w:r>
        <w:t xml:space="preserve"> </w:t>
      </w:r>
      <w:r>
        <w:t xml:space="preserve">years: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fleet</w:t>
            </w:r>
          </w:p>
        </w:tc>
        <w:tc>
          <w:tcPr/>
          <w:p>
            <w:pPr>
              <w:pStyle w:val="Compact"/>
            </w:pPr>
            <w:r>
              <w:t xml:space="preserve">mean F</w:t>
            </w:r>
          </w:p>
        </w:tc>
        <w:tc>
          <w:tcPr/>
          <w:p>
            <w:pPr>
              <w:pStyle w:val="Compact"/>
            </w:pPr>
            <w:r>
              <w:t xml:space="preserve">mean M</w:t>
            </w:r>
          </w:p>
        </w:tc>
        <w:tc>
          <w:tcPr/>
          <w:p>
            <w:pPr>
              <w:pStyle w:val="Compact"/>
            </w:pPr>
            <w:r>
              <w:t xml:space="preserve">F - M</w:t>
            </w:r>
          </w:p>
        </w:tc>
        <w:tc>
          <w:tcPr/>
          <w:p>
            <w:pPr>
              <w:pStyle w:val="Compact"/>
            </w:pPr>
            <w:r>
              <w:t xml:space="preserve">proportion female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Landings</w:t>
            </w:r>
          </w:p>
        </w:tc>
        <w:tc>
          <w:tcPr/>
          <w:p>
            <w:pPr>
              <w:pStyle w:val="Compact"/>
            </w:pPr>
            <w:r>
              <w:t xml:space="preserve">95.7</w:t>
            </w:r>
          </w:p>
        </w:tc>
        <w:tc>
          <w:tcPr/>
          <w:p>
            <w:pPr>
              <w:pStyle w:val="Compact"/>
            </w:pPr>
            <w:r>
              <w:t xml:space="preserve">80.6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+15.1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HookLine Landings</w:t>
            </w:r>
          </w:p>
        </w:tc>
        <w:tc>
          <w:tcPr/>
          <w:p>
            <w:pPr>
              <w:pStyle w:val="Compact"/>
            </w:pPr>
            <w:r>
              <w:t xml:space="preserve">96.3</w:t>
            </w:r>
          </w:p>
        </w:tc>
        <w:tc>
          <w:tcPr/>
          <w:p>
            <w:pPr>
              <w:pStyle w:val="Compact"/>
            </w:pPr>
            <w:r>
              <w:t xml:space="preserve">82.2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+14.1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IPHC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  <w:tc>
          <w:tcPr/>
          <w:p>
            <w:pPr>
              <w:pStyle w:val="Compact"/>
            </w:pPr>
            <w:r>
              <w:t xml:space="preserve">75.6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+13.3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Discards</w:t>
            </w:r>
          </w:p>
        </w:tc>
        <w:tc>
          <w:tcPr/>
          <w:p>
            <w:pPr>
              <w:pStyle w:val="Compact"/>
            </w:pPr>
            <w:r>
              <w:t xml:space="preserve">67.0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+1.0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</w:t>
            </w:r>
          </w:p>
        </w:tc>
        <w:tc>
          <w:tcPr/>
          <w:p>
            <w:pPr>
              <w:pStyle w:val="Compact"/>
            </w:pPr>
            <w:r>
              <w:t xml:space="preserve">67.2</w:t>
            </w:r>
          </w:p>
        </w:tc>
        <w:tc>
          <w:tcPr/>
          <w:p>
            <w:pPr>
              <w:pStyle w:val="Compact"/>
            </w:pPr>
            <w:r>
              <w:t xml:space="preserve">67.7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Midwater Trawl</w:t>
            </w:r>
          </w:p>
        </w:tc>
        <w:tc>
          <w:tcPr/>
          <w:p>
            <w:pPr>
              <w:pStyle w:val="Compact"/>
            </w:pPr>
            <w:r>
              <w:t xml:space="preserve">56.3</w:t>
            </w:r>
          </w:p>
        </w:tc>
        <w:tc>
          <w:tcPr/>
          <w:p>
            <w:pPr>
              <w:pStyle w:val="Compact"/>
            </w:pPr>
            <w:r>
              <w:t xml:space="preserve">63.6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-7.4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</w:tbl>
    <w:p>
      <w:pPr>
        <w:pStyle w:val="BodyText"/>
      </w:pPr>
      <w:r>
        <w:t xml:space="preserve">Four of six fleets run in the expected direction, three of them by 13-15</w:t>
      </w:r>
      <w:r>
        <w:t xml:space="preserve"> </w:t>
      </w:r>
      <w:r>
        <w:t xml:space="preserve">cm. Aggregated across years only midwater trawl shows the flagged pattern</w:t>
      </w:r>
      <w:r>
        <w:t xml:space="preserve"> </w:t>
      </w:r>
      <w:r>
        <w:t xml:space="preserve">materially; SYN is -0.5 cm, which is no difference. Individual Synoptic</w:t>
      </w:r>
      <w:r>
        <w:t xml:space="preserve"> </w:t>
      </w:r>
      <w:r>
        <w:t xml:space="preserve">years may still resemble Figures 7 and 9.</w:t>
      </w:r>
    </w:p>
    <w:p>
      <w:pPr>
        <w:pStyle w:val="BodyText"/>
      </w:pPr>
      <w:r>
        <w:t xml:space="preserve">This distribution is itself an argument against a coding error,</w:t>
      </w:r>
      <w:r>
        <w:t xml:space="preserve"> </w:t>
      </w:r>
      <w:r>
        <w:t xml:space="preserve">independent of the raw data. A dictionary error is a property of the</w:t>
      </w:r>
      <w:r>
        <w:t xml:space="preserve"> </w:t>
      </w:r>
      <w:r>
        <w:t xml:space="preserve">source system, so it must flip every fleet drawn from that system in the</w:t>
      </w:r>
      <w:r>
        <w:t xml:space="preserve"> </w:t>
      </w:r>
      <w:r>
        <w:t xml:space="preserve">same direction. Midwater trawl and bottom-trawl landings both come from</w:t>
      </w:r>
      <w:r>
        <w:t xml:space="preserve"> </w:t>
      </w:r>
      <w:r>
        <w:rPr>
          <w:rStyle w:val="VerbatimChar"/>
        </w:rPr>
        <w:t xml:space="preserve">commercial-samples.rds</w:t>
      </w:r>
      <w:r>
        <w:t xml:space="preserve"> </w:t>
      </w:r>
      <w:r>
        <w:t xml:space="preserve">and are both numerically coded, yet they run in</w:t>
      </w:r>
      <w:r>
        <w:t xml:space="preserve"> </w:t>
      </w:r>
      <w:r>
        <w:t xml:space="preserve">opposite directions. No dictionary swap can produce that.</w:t>
      </w:r>
    </w:p>
    <w:bookmarkEnd w:id="17"/>
    <w:bookmarkStart w:id="18" w:name="midwater-trawls-own-data-reject-the-swap"/>
    <w:p>
      <w:pPr>
        <w:pStyle w:val="Heading3"/>
      </w:pPr>
      <w:r>
        <w:t xml:space="preserve">8. Midwater trawl’s own data reject the swap</w:t>
      </w:r>
    </w:p>
    <w:p>
      <w:pPr>
        <w:pStyle w:val="FirstParagraph"/>
      </w:pPr>
      <w:r>
        <w:t xml:space="preserve">The obvious follow-up is whether midwater trawl, the one fleet that shows</w:t>
      </w:r>
      <w:r>
        <w:t xml:space="preserve"> </w:t>
      </w:r>
      <w:r>
        <w:t xml:space="preserve">the pattern materially, fits better when reversed. It does not. We</w:t>
      </w:r>
      <w:r>
        <w:t xml:space="preserve"> </w:t>
      </w:r>
      <w:r>
        <w:t xml:space="preserve">decomposed the length-composition likelihood by fleet, and additionally</w:t>
      </w:r>
      <w:r>
        <w:t xml:space="preserve"> </w:t>
      </w:r>
      <w:r>
        <w:t xml:space="preserve">fit</w:t>
      </w:r>
      <w:r>
        <w:t xml:space="preserve"> </w:t>
      </w:r>
      <w:r>
        <w:rPr>
          <w:rStyle w:val="VerbatimChar"/>
        </w:rPr>
        <w:t xml:space="preserve">S2_mwswap</w:t>
      </w:r>
      <w:r>
        <w:t xml:space="preserve">, in which only the 14 midwater trawl rows are exchanged</w:t>
      </w:r>
      <w:r>
        <w:t xml:space="preserve"> </w:t>
      </w:r>
      <w:r>
        <w:t xml:space="preserve">and every other fleet is left as coded.</w:t>
      </w:r>
    </w:p>
    <w:p>
      <w:pPr>
        <w:pStyle w:val="BodyText"/>
      </w:pPr>
      <w:r>
        <w:t xml:space="preserve">Establishing this took more care than we first applied, for a reason that</w:t>
      </w:r>
      <w:r>
        <w:t xml:space="preserve"> </w:t>
      </w:r>
      <w:r>
        <w:t xml:space="preserve">matters beyond this question.</w:t>
      </w:r>
      <w:r>
        <w:t xml:space="preserve"> </w:t>
      </w:r>
      <w:r>
        <w:rPr>
          <w:b/>
          <w:bCs/>
        </w:rPr>
        <w:t xml:space="preserve">The likelihood surface is strongly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Perturbed configurations started from the supplied control</w:t>
      </w:r>
      <w:r>
        <w:t xml:space="preserve"> </w:t>
      </w:r>
      <w:r>
        <w:t xml:space="preserve">values converge, with small maximum gradient components and no parameter</w:t>
      </w:r>
      <w:r>
        <w:t xml:space="preserve"> </w:t>
      </w:r>
      <w:r>
        <w:t xml:space="preserve">at a bound, to optima several hundred likelihood units worse than the</w:t>
      </w:r>
      <w:r>
        <w:t xml:space="preserve"> </w:t>
      </w:r>
      <w:r>
        <w:t xml:space="preserve">same configuration started elsewhere. Every figure below is therefore the</w:t>
      </w:r>
      <w:r>
        <w:t xml:space="preserve"> </w:t>
      </w:r>
      <w:r>
        <w:t xml:space="preserve">best of 21 starts: the supplied values, a warm start from A0’s solution</w:t>
      </w:r>
      <w:r>
        <w:t xml:space="preserve"> </w:t>
      </w:r>
      <w:r>
        <w:t xml:space="preserve">where the parameter vector permits, and 19 seeded jitters. A0 itself is</w:t>
      </w:r>
      <w:r>
        <w:t xml:space="preserve"> </w:t>
      </w:r>
      <w:r>
        <w:t xml:space="preserve">robust – all 21 starts return 1646.38.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fleet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all swapped</w:t>
            </w:r>
          </w:p>
        </w:tc>
        <w:tc>
          <w:tcPr/>
          <w:p>
            <w:pPr>
              <w:pStyle w:val="Compact"/>
            </w:pPr>
            <w:r>
              <w:t xml:space="preserve">MW-only swapped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Landings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  <w:tc>
          <w:tcPr/>
          <w:p>
            <w:pPr>
              <w:pStyle w:val="Compact"/>
            </w:pPr>
            <w:r>
              <w:t xml:space="preserve">128.1</w:t>
            </w:r>
          </w:p>
        </w:tc>
        <w:tc>
          <w:tcPr/>
          <w:p>
            <w:pPr>
              <w:pStyle w:val="Compact"/>
            </w:pPr>
            <w:r>
              <w:t xml:space="preserve">34.1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Trawl Discards</w:t>
            </w:r>
          </w:p>
        </w:tc>
        <w:tc>
          <w:tcPr/>
          <w:p>
            <w:pPr>
              <w:pStyle w:val="Compact"/>
            </w:pPr>
            <w:r>
              <w:t xml:space="preserve">65.7</w:t>
            </w:r>
          </w:p>
        </w:tc>
        <w:tc>
          <w:tcPr/>
          <w:p>
            <w:pPr>
              <w:pStyle w:val="Compact"/>
            </w:pPr>
            <w:r>
              <w:t xml:space="preserve">61.7</w:t>
            </w:r>
          </w:p>
        </w:tc>
        <w:tc>
          <w:tcPr/>
          <w:p>
            <w:pPr>
              <w:pStyle w:val="Compact"/>
            </w:pPr>
            <w:r>
              <w:t xml:space="preserve">66.6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Midwater Trawl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HookLine Landings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  <w:tc>
          <w:tcPr/>
          <w:p>
            <w:pPr>
              <w:pStyle w:val="Compact"/>
            </w:pPr>
            <w:r>
              <w:t xml:space="preserve">128.9</w:t>
            </w:r>
          </w:p>
        </w:tc>
        <w:tc>
          <w:tcPr/>
          <w:p>
            <w:pPr>
              <w:pStyle w:val="Compac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IPHC</w:t>
            </w:r>
          </w:p>
        </w:tc>
        <w:tc>
          <w:tcPr/>
          <w:p>
            <w:pPr>
              <w:pStyle w:val="Compact"/>
            </w:pPr>
            <w:r>
              <w:t xml:space="preserve">168.5</w:t>
            </w:r>
          </w:p>
        </w:tc>
        <w:tc>
          <w:tcPr/>
          <w:p>
            <w:pPr>
              <w:pStyle w:val="Compact"/>
            </w:pPr>
            <w:r>
              <w:t xml:space="preserve">289.0</w:t>
            </w:r>
          </w:p>
        </w:tc>
        <w:tc>
          <w:tcPr/>
          <w:p>
            <w:pPr>
              <w:pStyle w:val="Compact"/>
            </w:pPr>
            <w:r>
              <w:t xml:space="preserve">169.8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</w:t>
            </w:r>
          </w:p>
        </w:tc>
        <w:tc>
          <w:tcPr/>
          <w:p>
            <w:pPr>
              <w:pStyle w:val="Compact"/>
            </w:pPr>
            <w:r>
              <w:t xml:space="preserve">259.1</w:t>
            </w:r>
          </w:p>
        </w:tc>
        <w:tc>
          <w:tcPr/>
          <w:p>
            <w:pPr>
              <w:pStyle w:val="Compact"/>
            </w:pPr>
            <w:r>
              <w:t xml:space="preserve">281.6</w:t>
            </w:r>
          </w:p>
        </w:tc>
        <w:tc>
          <w:tcPr/>
          <w:p>
            <w:pPr>
              <w:pStyle w:val="Compact"/>
            </w:pPr>
            <w:r>
              <w:t xml:space="preserve">257.8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Length-comp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1007.8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682.7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1646.4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2014.1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1664.0</w:t>
            </w:r>
          </w:p>
        </w:tc>
      </w:tr>
    </w:tbl>
    <w:p>
      <w:pPr>
        <w:pStyle w:val="BodyText"/>
      </w:pPr>
      <w:r>
        <w:t xml:space="preserve">Midwater trawl is worse under both configurations: 108.1 as coded, 118.5</w:t>
      </w:r>
      <w:r>
        <w:t xml:space="preserve"> </w:t>
      </w:r>
      <w:r>
        <w:t xml:space="preserve">when every fleet is swapped, 119.6 when it alone is swapped. Under the</w:t>
      </w:r>
      <w:r>
        <w:t xml:space="preserve"> </w:t>
      </w:r>
      <w:r>
        <w:t xml:space="preserve">single-fleet swap the penalty is almost entirely confined to the fleet</w:t>
      </w:r>
      <w:r>
        <w:t xml:space="preserve"> </w:t>
      </w:r>
      <w:r>
        <w:t xml:space="preserve">that was swapped – 11.5 units of a total 11.6-unit change in the</w:t>
      </w:r>
      <w:r>
        <w:t xml:space="preserve"> </w:t>
      </w:r>
      <w:r>
        <w:t xml:space="preserve">length-composition likelihood – and the other five fleets move by at</w:t>
      </w:r>
      <w:r>
        <w:t xml:space="preserve"> </w:t>
      </w:r>
      <w:r>
        <w:t xml:space="preserve">most 1.3 units either way. The fleet that generated the anomaly is the</w:t>
      </w:r>
      <w:r>
        <w:t xml:space="preserve"> </w:t>
      </w:r>
      <w:r>
        <w:t xml:space="preserve">fleet whose own data most directly reject reversing it.</w:t>
      </w:r>
    </w:p>
    <w:p>
      <w:pPr>
        <w:pStyle w:val="BodyText"/>
      </w:pPr>
      <w:r>
        <w:t xml:space="preserve">The single-fleet swap costs 17.6 units in total against A0, on identical</w:t>
      </w:r>
      <w:r>
        <w:t xml:space="preserve"> </w:t>
      </w:r>
      <w:r>
        <w:t xml:space="preserve">data and an identical parameter count. That is a decisive preference in</w:t>
      </w:r>
      <w:r>
        <w:t xml:space="preserve"> </w:t>
      </w:r>
      <w:r>
        <w:t xml:space="preserve">likelihood terms without being dramatic, and it is a smaller margin than</w:t>
      </w:r>
      <w:r>
        <w:t xml:space="preserve"> </w:t>
      </w:r>
      <w:r>
        <w:t xml:space="preserve">the global reversal’s 367.7.</w:t>
      </w:r>
    </w:p>
    <w:bookmarkEnd w:id="18"/>
    <w:bookmarkEnd w:id="19"/>
    <w:bookmarkStart w:id="20" w:name="what-the-anomaly-actually-is"/>
    <w:p>
      <w:pPr>
        <w:pStyle w:val="Heading2"/>
      </w:pPr>
      <w:r>
        <w:t xml:space="preserve">What the anomaly actually is</w:t>
      </w:r>
    </w:p>
    <w:p>
      <w:pPr>
        <w:pStyle w:val="FirstParagraph"/>
      </w:pPr>
      <w:r>
        <w:t xml:space="preserve">Female dogfish span roughly 40 to 120+ cm. Males compress into a narrow</w:t>
      </w:r>
      <w:r>
        <w:t xml:space="preserve"> </w:t>
      </w:r>
      <w:r>
        <w:t xml:space="preserve">adult band near 70-90 cm. In gear that catches predominantly juveniles the</w:t>
      </w:r>
      <w:r>
        <w:t xml:space="preserve"> </w:t>
      </w:r>
      <w:r>
        <w:t xml:space="preserve">female mode therefore 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male mode while the female tail</w:t>
      </w:r>
      <w:r>
        <w:t xml:space="preserve"> </w:t>
      </w:r>
      <w:r>
        <w:t xml:space="preserve">still extends far above it. Midwater trawl is the clear case: female mode</w:t>
      </w:r>
      <w:r>
        <w:t xml:space="preserve"> </w:t>
      </w:r>
      <w:r>
        <w:t xml:space="preserve">near 58 cm against a male mode near 78 cm, with female maximum 116 cm</w:t>
      </w:r>
      <w:r>
        <w:t xml:space="preserve"> </w:t>
      </w:r>
      <w:r>
        <w:t xml:space="preserve">against male 110 cm. This is size structure and availability, and it is</w:t>
      </w:r>
      <w:r>
        <w:t xml:space="preserve"> </w:t>
      </w:r>
      <w:r>
        <w:t xml:space="preserve">the branch anticipated in your S.12 (</w:t>
      </w:r>
      <w:r>
        <w:t xml:space="preserve">“If sex codes are correct,</w:t>
      </w:r>
      <w:r>
        <w:t xml:space="preserve"> </w:t>
      </w:r>
      <w:r>
        <w:t xml:space="preserve">investigate spatial availability, sampling, and fleet behaviour”</w:t>
      </w:r>
      <w:r>
        <w:t xml:space="preserve">).</w:t>
      </w:r>
    </w:p>
    <w:bookmarkEnd w:id="20"/>
    <w:bookmarkStart w:id="21" w:name="disposition"/>
    <w:p>
      <w:pPr>
        <w:pStyle w:val="Heading2"/>
      </w:pPr>
      <w:r>
        <w:t xml:space="preserve">Disposition</w:t>
      </w:r>
    </w:p>
    <w:p>
      <w:pPr>
        <w:pStyle w:val="Compact"/>
        <w:numPr>
          <w:ilvl w:val="0"/>
          <w:numId w:val="1001"/>
        </w:numPr>
      </w:pPr>
      <w:r>
        <w:t xml:space="preserve">The S.11 run gate can be lifted. Compositions do not need rebuilding.</w:t>
      </w:r>
    </w:p>
    <w:p>
      <w:pPr>
        <w:pStyle w:val="Compact"/>
        <w:numPr>
          <w:ilvl w:val="0"/>
          <w:numId w:val="1001"/>
        </w:numPr>
      </w:pPr>
      <w:r>
        <w:t xml:space="preserve">The S.15 request for the authoritative sex-code dictionary is closed;</w:t>
      </w:r>
      <w:r>
        <w:t xml:space="preserve"> </w:t>
      </w:r>
      <w:r>
        <w:t xml:space="preserve">the source is cited in section 1 above and is publicly available.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New, and relevant to the S.10 programme: this surface is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Single-start fits of perturbed configurations landed up</w:t>
      </w:r>
      <w:r>
        <w:t xml:space="preserve"> </w:t>
      </w:r>
      <w:r>
        <w:t xml:space="preserve">to 645 likelihood units above the best optimum we could find for the</w:t>
      </w:r>
      <w:r>
        <w:t xml:space="preserve"> </w:t>
      </w:r>
      <w:r>
        <w:t xml:space="preserve">same configuration, converging cleanly each time. No diagnostic in</w:t>
      </w:r>
      <w:r>
        <w:t xml:space="preserve"> </w:t>
      </w:r>
      <w:r>
        <w:t xml:space="preserve">S.10 can be interpreted from a single fit, and we would want to know</w:t>
      </w:r>
      <w:r>
        <w:t xml:space="preserve"> </w:t>
      </w:r>
      <w:r>
        <w:t xml:space="preserve">whether the published sensitivities were multi-started before their</w:t>
      </w:r>
      <w:r>
        <w:t xml:space="preserve"> </w:t>
      </w:r>
      <w:r>
        <w:t xml:space="preserve">likelihoods are compared with one another or combined in an ensemble.</w:t>
      </w:r>
      <w:r>
        <w:t xml:space="preserve"> </w:t>
      </w:r>
      <w:r>
        <w:t xml:space="preserve">The alternative modes are interpretable rather than numerical noise: at</w:t>
      </w:r>
      <w:r>
        <w:t xml:space="preserve"> </w:t>
      </w:r>
      <w:r>
        <w:t xml:space="preserve">the poor SYN optimum the male apex selectivity scale falls from 0.934 to</w:t>
      </w:r>
      <w:r>
        <w:t xml:space="preserve"> </w:t>
      </w:r>
      <w:r>
        <w:t xml:space="preserve">0.446, so the model explains the same sex composition by deciding the</w:t>
      </w:r>
      <w:r>
        <w:t xml:space="preserve"> </w:t>
      </w:r>
      <w:r>
        <w:t xml:space="preserve">survey barely catches males. That the data admit both readings is</w:t>
      </w:r>
      <w:r>
        <w:t xml:space="preserve"> </w:t>
      </w:r>
      <w:r>
        <w:t xml:space="preserve">independent support for your S.5 concern that sex-specific selectivity</w:t>
      </w:r>
      <w:r>
        <w:t xml:space="preserve"> </w:t>
      </w:r>
      <w:r>
        <w:t xml:space="preserve">is weakly identified.</w:t>
      </w:r>
    </w:p>
    <w:p>
      <w:pPr>
        <w:pStyle w:val="Compact"/>
        <w:numPr>
          <w:ilvl w:val="0"/>
          <w:numId w:val="1001"/>
        </w:numPr>
      </w:pPr>
      <w:r>
        <w:t xml:space="preserve">The S.5 structural question – whether common gear selectivity-at-length</w:t>
      </w:r>
      <w:r>
        <w:t xml:space="preserve"> </w:t>
      </w:r>
      <w:r>
        <w:t xml:space="preserve">across sexes is the better rebuilding baseline – is untouched by this</w:t>
      </w:r>
      <w:r>
        <w:t xml:space="preserve"> </w:t>
      </w:r>
      <w:r>
        <w:t xml:space="preserve">result. We note that in A0 male selectivity in both Bottom Trawl</w:t>
      </w:r>
      <w:r>
        <w:t xml:space="preserve"> </w:t>
      </w:r>
      <w:r>
        <w:t xml:space="preserve">Landings and HookLine Landings is effectively zero, i.e. the model</w:t>
      </w:r>
      <w:r>
        <w:t xml:space="preserve"> </w:t>
      </w:r>
      <w:r>
        <w:t xml:space="preserve">attributes the landed catch almost entirely to females. That is a strong</w:t>
      </w:r>
      <w:r>
        <w:t xml:space="preserve"> </w:t>
      </w:r>
      <w:r>
        <w:t xml:space="preserve">claim resting on sex-specific selectivity and we suggest it is the</w:t>
      </w:r>
      <w:r>
        <w:t xml:space="preserve"> </w:t>
      </w:r>
      <w:r>
        <w:t xml:space="preserve">higher-value target for the bounded diagnostic programme in S.10.</w:t>
      </w:r>
    </w:p>
    <w:bookmarkEnd w:id="21"/>
    <w:bookmarkStart w:id="22" w:name="reproduction-status"/>
    <w:p>
      <w:pPr>
        <w:pStyle w:val="Heading2"/>
      </w:pPr>
      <w:r>
        <w:t xml:space="preserve">Reproduction status</w:t>
      </w:r>
    </w:p>
    <w:p>
      <w:pPr>
        <w:pStyle w:val="FirstParagraph"/>
      </w:pPr>
      <w:r>
        <w:t xml:space="preserve">For the record, the items listed as missing in S.11 have been</w:t>
      </w:r>
      <w:r>
        <w:t xml:space="preserve"> </w:t>
      </w:r>
      <w:r>
        <w:t xml:space="preserve">reconstructed:</w:t>
      </w:r>
    </w:p>
    <w:p>
      <w:pPr>
        <w:pStyle w:val="Compact"/>
        <w:numPr>
          <w:ilvl w:val="0"/>
          <w:numId w:val="1002"/>
        </w:numPr>
      </w:pPr>
      <w:r>
        <w:t xml:space="preserve">SS3 v3.30.22.1 (</w:t>
      </w:r>
      <w:r>
        <w:rPr>
          <w:rStyle w:val="VerbatimChar"/>
        </w:rPr>
        <w:t xml:space="preserve">ss3_opt_osx_arm64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38870aa0...f756ea5dc5</w:t>
      </w:r>
      <w:r>
        <w:t xml:space="preserve">), pinned and fetched by script.</w:t>
      </w:r>
    </w:p>
    <w:p>
      <w:pPr>
        <w:pStyle w:val="Compact"/>
        <w:numPr>
          <w:ilvl w:val="0"/>
          <w:numId w:val="1002"/>
        </w:numPr>
      </w:pPr>
      <w:r>
        <w:t xml:space="preserve">All 21 A- and B-series configurations refit and converged, maximum</w:t>
      </w:r>
      <w:r>
        <w:t xml:space="preserve"> </w:t>
      </w:r>
      <w:r>
        <w:t xml:space="preserve">gradient 1e-8 to 1.6e-3.</w:t>
      </w:r>
    </w:p>
    <w:p>
      <w:pPr>
        <w:pStyle w:val="Compact"/>
        <w:numPr>
          <w:ilvl w:val="0"/>
          <w:numId w:val="1002"/>
        </w:numPr>
      </w:pPr>
      <w:r>
        <w:t xml:space="preserve">A0 reproduces the published base depletion: 0.086 with standard</w:t>
      </w:r>
      <w:r>
        <w:t xml:space="preserve"> </w:t>
      </w:r>
      <w:r>
        <w:t xml:space="preserve">deviation 0.005, against</w:t>
      </w:r>
      <w:r>
        <w:t xml:space="preserve"> </w:t>
      </w:r>
      <w:r>
        <w:rPr>
          <w:rStyle w:val="VerbatimChar"/>
        </w:rPr>
        <w:t xml:space="preserve">\BaseDepl</w:t>
      </w:r>
      <w:r>
        <w:t xml:space="preserve"> </w:t>
      </w:r>
      <w:r>
        <w:t xml:space="preserve">0.09 and CI 0.08-0.09.</w:t>
      </w:r>
    </w:p>
    <w:p>
      <w:pPr>
        <w:pStyle w:val="Compact"/>
        <w:numPr>
          <w:ilvl w:val="0"/>
          <w:numId w:val="1002"/>
        </w:numPr>
      </w:pPr>
      <w:r>
        <w:t xml:space="preserve">A8 (HBLL only) returns depletion 0.997 with zero standard deviation</w:t>
      </w:r>
      <w:r>
        <w:t xml:space="preserve"> </w:t>
      </w:r>
      <w:r>
        <w:t xml:space="preserve">and an unfished spawning output of 1.08e7. This matches the authors’</w:t>
      </w:r>
      <w:r>
        <w:t xml:space="preserve"> </w:t>
      </w:r>
      <w:r>
        <w:t xml:space="preserve">own account – Res. Doc. section 3.3.1 records unresolvable convergence</w:t>
      </w:r>
      <w:r>
        <w:t xml:space="preserve"> </w:t>
      </w:r>
      <w:r>
        <w:t xml:space="preserve">issues and excludes A8 – so it is corroboration, not a new issue.</w:t>
      </w:r>
    </w:p>
    <w:p>
      <w:pPr>
        <w:pStyle w:val="Compact"/>
        <w:numPr>
          <w:ilvl w:val="0"/>
          <w:numId w:val="1002"/>
        </w:numPr>
      </w:pPr>
      <w:r>
        <w:t xml:space="preserve">The R environment is pinned in an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(230 packages, dated CRAN</w:t>
      </w:r>
      <w:r>
        <w:t xml:space="preserve"> </w:t>
      </w:r>
      <w:r>
        <w:t xml:space="preserve">snapshot, GitHub packages pinned by commit).</w:t>
      </w:r>
    </w:p>
    <w:bookmarkEnd w:id="22"/>
    <w:bookmarkStart w:id="23" w:name="outstanding-data-request"/>
    <w:p>
      <w:pPr>
        <w:pStyle w:val="Heading2"/>
      </w:pPr>
      <w:r>
        <w:t xml:space="preserve">Outstanding data request</w:t>
      </w:r>
    </w:p>
    <w:p>
      <w:pPr>
        <w:pStyle w:val="FirstParagraph"/>
      </w:pPr>
      <w:r>
        <w:t xml:space="preserve">The one remaining gap is the midwater trawl biological samples, which are</w:t>
      </w:r>
      <w:r>
        <w:t xml:space="preserve"> </w:t>
      </w:r>
      <w:r>
        <w:t xml:space="preserve">commercial rather than survey data and so are not on the open portal. See</w:t>
      </w:r>
      <w:r>
        <w:t xml:space="preserve"> </w:t>
      </w:r>
      <w:r>
        <w:t xml:space="preserve">the accompanying request. Coverage in the copy we hold is 27,933 dogfish</w:t>
      </w:r>
      <w:r>
        <w:t xml:space="preserve"> </w:t>
      </w:r>
      <w:r>
        <w:t xml:space="preserve">specimens with sex and length, sampling description UNSORTED, 1979-2019,</w:t>
      </w:r>
      <w:r>
        <w:t xml:space="preserve"> </w:t>
      </w:r>
      <w:r>
        <w:t xml:space="preserve">across 257 distinct samples, with 18,741 of those specimens in the 1990s.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2026-08-31T18:38:35Z</dcterms:created>
  <dcterms:modified xsi:type="dcterms:W3CDTF">2026-08-31T18:38:35Z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