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08f15f914df2d0a024e777f7d4d4052d153d57"/>
    <w:p>
      <w:pPr>
        <w:pStyle w:val="Heading1"/>
      </w:pPr>
      <w:r>
        <w:t xml:space="preserve">Data request: midwater trawl biological samples, Pacific Spiny Dogfish</w:t>
      </w:r>
    </w:p>
    <w:p>
      <w:pPr>
        <w:pStyle w:val="FirstParagraph"/>
      </w:pPr>
      <w:r>
        <w:rPr>
          <w:b/>
          <w:bCs/>
        </w:rPr>
        <w:t xml:space="preserve">Requester:</w:t>
      </w:r>
      <w:r>
        <w:t xml:space="preserve"> </w:t>
      </w:r>
      <w:r>
        <w:t xml:space="preserve">S.D.N. Johnson, Landmark Fisheries Research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25 August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Independent review of the Outside Pacific Spiny Dogfish</w:t>
      </w:r>
      <w:r>
        <w:t xml:space="preserve"> </w:t>
      </w:r>
      <w:r>
        <w:t xml:space="preserve">assessment (Anderson et al. 2026, CSAS Res. Doc. 2025/055) in support of</w:t>
      </w:r>
      <w:r>
        <w:t xml:space="preserve"> </w:t>
      </w:r>
      <w:r>
        <w:t xml:space="preserve">rebuilding planning</w:t>
      </w:r>
      <w:r>
        <w:t xml:space="preserve"> </w:t>
      </w:r>
      <w:r>
        <w:rPr>
          <w:b/>
          <w:bCs/>
        </w:rPr>
        <w:t xml:space="preserve">Suggested route:</w:t>
      </w:r>
      <w:r>
        <w:t xml:space="preserve"> </w:t>
      </w:r>
      <w:r>
        <w:t xml:space="preserve">Groundfish Data Unit, Pacific Biological Station</w:t>
      </w:r>
      <w:r>
        <w:t xml:space="preserve"> </w:t>
      </w:r>
      <w:r>
        <w:t xml:space="preserve">(GFBio commercial biological samples)</w:t>
      </w:r>
    </w:p>
    <w:p>
      <w:r>
        <w:pict>
          <v:rect style="width:0;height:1.5pt" o:hralign="center" o:hrstd="t" o:hr="t"/>
        </w:pic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An independent review of the above assessment flagged an anomalous</w:t>
      </w:r>
      <w:r>
        <w:t xml:space="preserve"> </w:t>
      </w:r>
      <w:r>
        <w:t xml:space="preserve">sex-length pattern in the fitted length compositions, in which</w:t>
      </w:r>
      <w:r>
        <w:t xml:space="preserve"> </w:t>
      </w:r>
      <w:r>
        <w:t xml:space="preserve">observations coded female are concentrated at smaller lengths than those</w:t>
      </w:r>
      <w:r>
        <w:t xml:space="preserve"> </w:t>
      </w:r>
      <w:r>
        <w:t xml:space="preserve">coded male. We have verified the numeric sex-code dictionary against the</w:t>
      </w:r>
      <w:r>
        <w:t xml:space="preserve"> </w:t>
      </w:r>
      <w:r>
        <w:t xml:space="preserve">DFO groundfish data dictionary published on open.canada.ca (1 = male,</w:t>
      </w:r>
      <w:r>
        <w:t xml:space="preserve"> </w:t>
      </w:r>
      <w:r>
        <w:t xml:space="preserve">2 = female) and confirmed that the survey extraction reproduces the</w:t>
      </w:r>
      <w:r>
        <w:t xml:space="preserve"> </w:t>
      </w:r>
      <w:r>
        <w:t xml:space="preserve">published open-data records. The survey component of the question is</w:t>
      </w:r>
      <w:r>
        <w:t xml:space="preserve"> </w:t>
      </w:r>
      <w:r>
        <w:t xml:space="preserve">therefore closed.</w:t>
      </w:r>
    </w:p>
    <w:p>
      <w:pPr>
        <w:pStyle w:val="BodyText"/>
      </w:pPr>
      <w:r>
        <w:t xml:space="preserve">The pattern persists, materially, in one fleet only: midwater trawl, where</w:t>
      </w:r>
      <w:r>
        <w:t xml:space="preserve"> </w:t>
      </w:r>
      <w:r>
        <w:t xml:space="preserve">mean length of female-coded specimens is 7.4 cm below that of male-coded</w:t>
      </w:r>
      <w:r>
        <w:t xml:space="preserve"> </w:t>
      </w:r>
      <w:r>
        <w:t xml:space="preserve">specimens. Midwater trawl samples are commercial rather than survey data</w:t>
      </w:r>
      <w:r>
        <w:t xml:space="preserve"> </w:t>
      </w:r>
      <w:r>
        <w:t xml:space="preserve">and are not available through the open data portal. We are seeking these</w:t>
      </w:r>
      <w:r>
        <w:t xml:space="preserve"> </w:t>
      </w:r>
      <w:r>
        <w:t xml:space="preserve">records to complete the audit and to characterise the size-selective</w:t>
      </w:r>
      <w:r>
        <w:t xml:space="preserve"> </w:t>
      </w:r>
      <w:r>
        <w:t xml:space="preserve">availability that we believe explains the pattern.</w:t>
      </w:r>
    </w:p>
    <w:bookmarkEnd w:id="9"/>
    <w:bookmarkStart w:id="10" w:name="records-requested"/>
    <w:p>
      <w:pPr>
        <w:pStyle w:val="Heading2"/>
      </w:pPr>
      <w:r>
        <w:t xml:space="preserve">Records requested</w:t>
      </w:r>
    </w:p>
    <w:p>
      <w:pPr>
        <w:pStyle w:val="FirstParagraph"/>
      </w:pPr>
      <w:r>
        <w:t xml:space="preserve">Commercial biological samples for North Pacific Spiny Dogfish</w:t>
      </w:r>
      <w:r>
        <w:t xml:space="preserve"> </w:t>
      </w:r>
      <w:r>
        <w:t xml:space="preserve">(</w:t>
      </w:r>
      <w:r>
        <w:rPr>
          <w:i/>
          <w:iCs/>
        </w:rPr>
        <w:t xml:space="preserve">Squalus suckleyi</w:t>
      </w:r>
      <w:r>
        <w:t xml:space="preserve">), gear type MIDWATER TRAWL, outside waters</w:t>
      </w:r>
      <w:r>
        <w:t xml:space="preserve"> </w:t>
      </w:r>
      <w:r>
        <w:t xml:space="preserve">(excluding Major Statistical Area 4B):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</w:t>
            </w:r>
          </w:p>
        </w:tc>
        <w:tc>
          <w:tcPr/>
          <w:p>
            <w:pPr>
              <w:pStyle w:val="Compact"/>
            </w:pPr>
            <w:r>
              <w:t xml:space="preserve">North Pacific Spiny Dogfish (</w:t>
            </w:r>
            <w:r>
              <w:rPr>
                <w:i/>
                <w:iCs/>
              </w:rPr>
              <w:t xml:space="preserve">Squalus suckleyi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Gear</w:t>
            </w:r>
          </w:p>
        </w:tc>
        <w:tc>
          <w:tcPr/>
          <w:p>
            <w:pPr>
              <w:pStyle w:val="Compact"/>
            </w:pPr>
            <w:r>
              <w:t xml:space="preserve">Midwater trawl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Outside stock; excluding 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1979 to present (2019 is the latest in our current copy)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description</w:t>
            </w:r>
          </w:p>
        </w:tc>
        <w:tc>
          <w:tcPr/>
          <w:p>
            <w:pPr>
              <w:pStyle w:val="Compact"/>
            </w:pPr>
            <w:r>
              <w:t xml:space="preserve">UNSORTED, plus KEEPERS and DISCARDS if held</w:t>
            </w:r>
          </w:p>
        </w:tc>
      </w:tr>
    </w:tbl>
    <w:p>
      <w:pPr>
        <w:pStyle w:val="BodyText"/>
      </w:pPr>
      <w:r>
        <w:t xml:space="preserve">Fields required, per specimen:</w:t>
      </w:r>
    </w:p>
    <w:p>
      <w:pPr>
        <w:pStyle w:val="Compact"/>
        <w:numPr>
          <w:ilvl w:val="0"/>
          <w:numId w:val="1001"/>
        </w:numPr>
      </w:pPr>
      <w:r>
        <w:t xml:space="preserve">Sample and specimen identifiers</w:t>
      </w:r>
    </w:p>
    <w:p>
      <w:pPr>
        <w:pStyle w:val="Compact"/>
        <w:numPr>
          <w:ilvl w:val="0"/>
          <w:numId w:val="1001"/>
        </w:numPr>
      </w:pPr>
      <w:r>
        <w:t xml:space="preserve">Year, month, and Major Statistical Area</w:t>
      </w:r>
    </w:p>
    <w:p>
      <w:pPr>
        <w:pStyle w:val="Compact"/>
        <w:numPr>
          <w:ilvl w:val="0"/>
          <w:numId w:val="1001"/>
        </w:numPr>
      </w:pPr>
      <w:r>
        <w:t xml:space="preserve">Length, with the length type recorded (total, fork, or second dorsal)</w:t>
      </w:r>
      <w:r>
        <w:t xml:space="preserve"> </w:t>
      </w:r>
      <w:r>
        <w:t xml:space="preserve">and the measurement protocol</w:t>
      </w:r>
    </w:p>
    <w:p>
      <w:pPr>
        <w:pStyle w:val="Compact"/>
        <w:numPr>
          <w:ilvl w:val="0"/>
          <w:numId w:val="1001"/>
        </w:numPr>
      </w:pPr>
      <w:r>
        <w:t xml:space="preserve">Sex code, together with the sex-code dictionary applicable to</w:t>
      </w:r>
      <w:r>
        <w:t xml:space="preserve"> </w:t>
      </w:r>
      <w:r>
        <w:t xml:space="preserve">commercial samples</w:t>
      </w:r>
    </w:p>
    <w:p>
      <w:pPr>
        <w:pStyle w:val="Compact"/>
        <w:numPr>
          <w:ilvl w:val="0"/>
          <w:numId w:val="1001"/>
        </w:numPr>
      </w:pPr>
      <w:r>
        <w:t xml:space="preserve">Maturity code and maturity convention, where recorded</w:t>
      </w:r>
    </w:p>
    <w:p>
      <w:pPr>
        <w:pStyle w:val="Compact"/>
        <w:numPr>
          <w:ilvl w:val="0"/>
          <w:numId w:val="1001"/>
        </w:numPr>
      </w:pPr>
      <w:r>
        <w:t xml:space="preserve">Usability code</w:t>
      </w:r>
    </w:p>
    <w:p>
      <w:pPr>
        <w:pStyle w:val="Compact"/>
        <w:numPr>
          <w:ilvl w:val="0"/>
          <w:numId w:val="1001"/>
        </w:numPr>
      </w:pPr>
      <w:r>
        <w:t xml:space="preserve">Sampling description (unsorted, keepers, discards)</w:t>
      </w:r>
    </w:p>
    <w:bookmarkEnd w:id="10"/>
    <w:bookmarkStart w:id="11" w:name="X95d29e6e0e97a4914f2dafc457166d4c7a59f40"/>
    <w:p>
      <w:pPr>
        <w:pStyle w:val="Heading2"/>
      </w:pPr>
      <w:r>
        <w:t xml:space="preserve">Preferred form, and a confidentiality-safe alternative</w:t>
      </w:r>
    </w:p>
    <w:p>
      <w:pPr>
        <w:pStyle w:val="FirstParagraph"/>
      </w:pPr>
      <w:r>
        <w:t xml:space="preserve">Specimen-level records are preferred. We recognise that commercial</w:t>
      </w:r>
      <w:r>
        <w:t xml:space="preserve"> </w:t>
      </w:r>
      <w:r>
        <w:t xml:space="preserve">fishery data may be subject to vessel-confidentiality screening. If</w:t>
      </w:r>
      <w:r>
        <w:t xml:space="preserve"> </w:t>
      </w:r>
      <w:r>
        <w:t xml:space="preserve">specimen-level release is constrained, the following aggregation would</w:t>
      </w:r>
      <w:r>
        <w:t xml:space="preserve"> </w:t>
      </w:r>
      <w:r>
        <w:t xml:space="preserve">meet our need without identifying vessels or trips:</w:t>
      </w:r>
    </w:p>
    <w:p>
      <w:pPr>
        <w:pStyle w:val="BlockText"/>
      </w:pPr>
      <w:r>
        <w:t xml:space="preserve">Counts of specimens by year, sex, and 5 cm length bin, pooled across</w:t>
      </w:r>
      <w:r>
        <w:t xml:space="preserve"> </w:t>
      </w:r>
      <w:r>
        <w:t xml:space="preserve">all vessels and trips within each year, for the gear and area above.</w:t>
      </w:r>
    </w:p>
    <w:p>
      <w:pPr>
        <w:pStyle w:val="FirstParagraph"/>
      </w:pPr>
      <w:r>
        <w:t xml:space="preserve">This is the form in which the data enter the assessment, so aggregation to</w:t>
      </w:r>
      <w:r>
        <w:t xml:space="preserve"> </w:t>
      </w:r>
      <w:r>
        <w:t xml:space="preserve">this level would not reduce its usefulness for the audit.</w:t>
      </w:r>
    </w:p>
    <w:bookmarkEnd w:id="11"/>
    <w:bookmarkStart w:id="12" w:name="X0a1c188bdcd9f805bd08e9fa6d2508ee521e641"/>
    <w:p>
      <w:pPr>
        <w:pStyle w:val="Heading2"/>
      </w:pPr>
      <w:r>
        <w:t xml:space="preserve">Specific questions the data would resolve</w:t>
      </w:r>
    </w:p>
    <w:p>
      <w:pPr>
        <w:pStyle w:val="Compact"/>
        <w:numPr>
          <w:ilvl w:val="0"/>
          <w:numId w:val="1002"/>
        </w:numPr>
      </w:pPr>
      <w:r>
        <w:t xml:space="preserve">Is the commercial sex-code dictionary identical to the survey</w:t>
      </w:r>
      <w:r>
        <w:t xml:space="preserve"> </w:t>
      </w:r>
      <w:r>
        <w:t xml:space="preserve">dictionary (1 = male, 2 = female)? Our evidence indicates it is, but it</w:t>
      </w:r>
      <w:r>
        <w:t xml:space="preserve"> </w:t>
      </w:r>
      <w:r>
        <w:t xml:space="preserve">has not been confirmed from a documented source for commercial samples</w:t>
      </w:r>
      <w:r>
        <w:t xml:space="preserve"> </w:t>
      </w:r>
      <w:r>
        <w:t xml:space="preserve">specifically, as it now has for surveys.</w:t>
      </w:r>
    </w:p>
    <w:p>
      <w:pPr>
        <w:pStyle w:val="Compact"/>
        <w:numPr>
          <w:ilvl w:val="0"/>
          <w:numId w:val="1002"/>
        </w:numPr>
      </w:pPr>
      <w:r>
        <w:t xml:space="preserve">Does the female-smaller pattern in midwater trawl hold across years, or</w:t>
      </w:r>
      <w:r>
        <w:t xml:space="preserve"> </w:t>
      </w:r>
      <w:r>
        <w:t xml:space="preserve">is it driven by a small number of large samples? Our copy holds 27,933</w:t>
      </w:r>
      <w:r>
        <w:t xml:space="preserve"> </w:t>
      </w:r>
      <w:r>
        <w:t xml:space="preserve">unsorted specimens across only 257 distinct samples, 18,741 of them in</w:t>
      </w:r>
      <w:r>
        <w:t xml:space="preserve"> </w:t>
      </w:r>
      <w:r>
        <w:t xml:space="preserve">the 1990s, so a few sampling events may dominate.</w:t>
      </w:r>
    </w:p>
    <w:p>
      <w:pPr>
        <w:pStyle w:val="Compact"/>
        <w:numPr>
          <w:ilvl w:val="0"/>
          <w:numId w:val="1002"/>
        </w:numPr>
      </w:pPr>
      <w:r>
        <w:t xml:space="preserve">Are the midwater trawl samples drawn disproportionately from juvenile</w:t>
      </w:r>
      <w:r>
        <w:t xml:space="preserve"> </w:t>
      </w:r>
      <w:r>
        <w:t xml:space="preserve">aggregations, which would explain the pattern as availability rather</w:t>
      </w:r>
      <w:r>
        <w:t xml:space="preserve"> </w:t>
      </w:r>
      <w:r>
        <w:t xml:space="preserve">than as a data error?</w:t>
      </w:r>
    </w:p>
    <w:bookmarkEnd w:id="12"/>
    <w:bookmarkStart w:id="13" w:name="context-on-why-this-matters"/>
    <w:p>
      <w:pPr>
        <w:pStyle w:val="Heading2"/>
      </w:pPr>
      <w:r>
        <w:t xml:space="preserve">Context on why this matters</w:t>
      </w:r>
    </w:p>
    <w:p>
      <w:pPr>
        <w:pStyle w:val="FirstParagraph"/>
      </w:pPr>
      <w:r>
        <w:t xml:space="preserve">The assessment attributes essentially all landed catch to females through</w:t>
      </w:r>
      <w:r>
        <w:t xml:space="preserve"> </w:t>
      </w:r>
      <w:r>
        <w:t xml:space="preserve">strongly sex-specific selectivity. Whether that structure is necessary, or</w:t>
      </w:r>
      <w:r>
        <w:t xml:space="preserve"> </w:t>
      </w:r>
      <w:r>
        <w:t xml:space="preserve">is absorbing availability and sampling effects, bears directly on</w:t>
      </w:r>
      <w:r>
        <w:t xml:space="preserve"> </w:t>
      </w:r>
      <w:r>
        <w:t xml:space="preserve">estimated female fishing mortality and therefore on rebuilding advice. The</w:t>
      </w:r>
      <w:r>
        <w:t xml:space="preserve"> </w:t>
      </w:r>
      <w:r>
        <w:t xml:space="preserve">midwater trawl compositions are the most informative data for</w:t>
      </w:r>
      <w:r>
        <w:t xml:space="preserve"> </w:t>
      </w:r>
      <w:r>
        <w:t xml:space="preserve">distinguishing those explanations.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2026-08-25T18:10:36Z</dcterms:created>
  <dcterms:modified xsi:type="dcterms:W3CDTF">2026-08-25T18:10:36Z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