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Xad8c342c6eacb9b5bc0775b4b1c2fcb6d30a725"/>
    <w:p>
      <w:pPr>
        <w:pStyle w:val="Heading1"/>
      </w:pPr>
      <w:r>
        <w:t xml:space="preserve">Sex-code audit: results for Interim Review Report 1 (S.5, S.11)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Sean Cox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S.D.N. Johnson, Landmark Fisheries Research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25 August 2026</w:t>
      </w:r>
      <w:r>
        <w:t xml:space="preserve"> </w:t>
      </w:r>
      <w:r>
        <w:rPr>
          <w:b/>
          <w:bCs/>
        </w:rPr>
        <w:t xml:space="preserve">Re:</w:t>
      </w:r>
      <w:r>
        <w:t xml:space="preserve"> </w:t>
      </w:r>
      <w:r>
        <w:t xml:space="preserve">Outside Pacific Spiny Dogfish – verification of the numeric</w:t>
      </w:r>
      <w:r>
        <w:t xml:space="preserve"> </w:t>
      </w:r>
      <w:r>
        <w:t xml:space="preserve">sex-code dictionary, and disposition of the S.11 run gate</w:t>
      </w:r>
    </w:p>
    <w:p>
      <w:r>
        <w:pict>
          <v:rect style="width:0;height:1.5pt" o:hralign="center" o:hrstd="t" o:hr="t"/>
        </w:pict>
      </w:r>
    </w:p>
    <w:bookmarkStart w:id="9" w:name="bottom-line"/>
    <w:p>
      <w:pPr>
        <w:pStyle w:val="Heading2"/>
      </w:pPr>
      <w:r>
        <w:t xml:space="preserve">Bottom line</w:t>
      </w:r>
    </w:p>
    <w:p>
      <w:pPr>
        <w:pStyle w:val="FirstParagraph"/>
      </w:pPr>
      <w:r>
        <w:t xml:space="preserve">The numeric sex codes are correct as used. Code 1 is male and code 2 is</w:t>
      </w:r>
      <w:r>
        <w:t xml:space="preserve"> </w:t>
      </w:r>
      <w:r>
        <w:t xml:space="preserve">female, confirmed against the authoritative DFO data dictionary published</w:t>
      </w:r>
      <w:r>
        <w:t xml:space="preserve"> </w:t>
      </w:r>
      <w:r>
        <w:t xml:space="preserve">on the Government of Canada open data portal. The composition inputs to</w:t>
      </w:r>
      <w:r>
        <w:t xml:space="preserve"> </w:t>
      </w:r>
      <w:r>
        <w:t xml:space="preserve">A0 are not reversed, and the run gate in S.11 can be lifted.</w:t>
      </w:r>
    </w:p>
    <w:p>
      <w:pPr>
        <w:pStyle w:val="BodyText"/>
      </w:pPr>
      <w:r>
        <w:t xml:space="preserve">The anomaly you identified is real, but it is not a coding artifact. It is</w:t>
      </w:r>
      <w:r>
        <w:t xml:space="preserve"> </w:t>
      </w:r>
      <w:r>
        <w:t xml:space="preserve">confined to the midwater trawl fleet, where it has a straightforward</w:t>
      </w:r>
      <w:r>
        <w:t xml:space="preserve"> </w:t>
      </w:r>
      <w:r>
        <w:t xml:space="preserve">reading as size-selective availability. The separate structural concern</w:t>
      </w:r>
      <w:r>
        <w:t xml:space="preserve"> </w:t>
      </w:r>
      <w:r>
        <w:t xml:space="preserve">raised in the first paragraph of S.5 – whether strongly sex-specific</w:t>
      </w:r>
      <w:r>
        <w:t xml:space="preserve"> </w:t>
      </w:r>
      <w:r>
        <w:t xml:space="preserve">selectivity is necessary – is unaffected by this result and in our view</w:t>
      </w:r>
      <w:r>
        <w:t xml:space="preserve"> </w:t>
      </w:r>
      <w:r>
        <w:t xml:space="preserve">remains the more consequential question.</w:t>
      </w:r>
    </w:p>
    <w:bookmarkEnd w:id="9"/>
    <w:bookmarkStart w:id="10" w:name="what-was-tested"/>
    <w:p>
      <w:pPr>
        <w:pStyle w:val="Heading2"/>
      </w:pPr>
      <w:r>
        <w:t xml:space="preserve">What was tested</w:t>
      </w:r>
    </w:p>
    <w:p>
      <w:pPr>
        <w:pStyle w:val="FirstParagraph"/>
      </w:pPr>
      <w:r>
        <w:t xml:space="preserve">Your S.5 required audit asked for the sex codes to be traced from raw</w:t>
      </w:r>
      <w:r>
        <w:t xml:space="preserve"> </w:t>
      </w:r>
      <w:r>
        <w:t xml:space="preserve">records through to the SS3 inputs, and for sex-specific means and</w:t>
      </w:r>
      <w:r>
        <w:t xml:space="preserve"> </w:t>
      </w:r>
      <w:r>
        <w:t xml:space="preserve">quantiles to be compared by dataset. The two files you were missing,</w:t>
      </w:r>
      <w:r>
        <w:t xml:space="preserve"> </w:t>
      </w:r>
      <w:r>
        <w:rPr>
          <w:rStyle w:val="VerbatimChar"/>
        </w:rPr>
        <w:t xml:space="preserve">survey-samples.rds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commercial-samples.rds</w:t>
      </w:r>
      <w:r>
        <w:t xml:space="preserve">, are present in the</w:t>
      </w:r>
      <w:r>
        <w:t xml:space="preserve"> </w:t>
      </w:r>
      <w:r>
        <w:t xml:space="preserve">repository we hold, so the trace could be completed. We also refit the</w:t>
      </w:r>
      <w:r>
        <w:t xml:space="preserve"> </w:t>
      </w:r>
      <w:r>
        <w:t xml:space="preserve">model under the reversal hypothesis to bound its consequence.</w:t>
      </w:r>
    </w:p>
    <w:bookmarkEnd w:id="10"/>
    <w:bookmarkStart w:id="19" w:name="evidence"/>
    <w:p>
      <w:pPr>
        <w:pStyle w:val="Heading2"/>
      </w:pPr>
      <w:r>
        <w:t xml:space="preserve">Evidence</w:t>
      </w:r>
    </w:p>
    <w:bookmarkStart w:id="11" w:name="the-authoritative-dictionary"/>
    <w:p>
      <w:pPr>
        <w:pStyle w:val="Heading3"/>
      </w:pPr>
      <w:r>
        <w:t xml:space="preserve">1. The authoritative dictionary</w:t>
      </w:r>
    </w:p>
    <w:p>
      <w:pPr>
        <w:pStyle w:val="FirstParagraph"/>
      </w:pPr>
      <w:r>
        <w:t xml:space="preserve">The DFO</w:t>
      </w:r>
      <w:r>
        <w:t xml:space="preserve"> </w:t>
      </w:r>
      <w:r>
        <w:t xml:space="preserve">“Groundfish Synoptic Bottom Trawl Surveys”</w:t>
      </w:r>
      <w:r>
        <w:t xml:space="preserve"> </w:t>
      </w:r>
      <w:r>
        <w:t xml:space="preserve">record on</w:t>
      </w:r>
      <w:r>
        <w:t xml:space="preserve"> </w:t>
      </w:r>
      <w:r>
        <w:t xml:space="preserve">open.canada.ca (dataset</w:t>
      </w:r>
      <w:r>
        <w:t xml:space="preserve"> </w:t>
      </w:r>
      <w:r>
        <w:rPr>
          <w:rStyle w:val="VerbatimChar"/>
        </w:rPr>
        <w:t xml:space="preserve">a278d1af-d567-4964-a109-ae1e84cbd24a</w:t>
      </w:r>
      <w:r>
        <w:t xml:space="preserve">) publishes a</w:t>
      </w:r>
      <w:r>
        <w:t xml:space="preserve"> </w:t>
      </w:r>
      <w:r>
        <w:t xml:space="preserve">data dictionary that defines the field directly:</w:t>
      </w:r>
    </w:p>
    <w:p>
      <w:pPr>
        <w:pStyle w:val="BlockText"/>
      </w:pPr>
      <w:r>
        <w:rPr>
          <w:b/>
          <w:bCs/>
        </w:rPr>
        <w:t xml:space="preserve">Sex</w:t>
      </w:r>
      <w:r>
        <w:t xml:space="preserve"> </w:t>
      </w:r>
      <w:r>
        <w:t xml:space="preserve">– Sex of the fish: 0 = not examined; 1 = male; 2 = female,</w:t>
      </w:r>
      <w:r>
        <w:t xml:space="preserve"> </w:t>
      </w:r>
      <w:r>
        <w:t xml:space="preserve">3 = unknown</w:t>
      </w:r>
    </w:p>
    <w:p>
      <w:pPr>
        <w:pStyle w:val="FirstParagraph"/>
      </w:pPr>
      <w:r>
        <w:t xml:space="preserve">This is the item listed as outstanding in your S.15. It matches the</w:t>
      </w:r>
      <w:r>
        <w:t xml:space="preserve"> </w:t>
      </w:r>
      <w:r>
        <w:t xml:space="preserve">assumption in</w:t>
      </w:r>
      <w:r>
        <w:t xml:space="preserve"> </w:t>
      </w:r>
      <w:r>
        <w:rPr>
          <w:rStyle w:val="VerbatimChar"/>
        </w:rPr>
        <w:t xml:space="preserve">ss3/01-outside-stock-synthesis-data.R</w:t>
      </w:r>
      <w:r>
        <w:t xml:space="preserve"> </w:t>
      </w:r>
      <w:r>
        <w:t xml:space="preserve">line 323</w:t>
      </w:r>
      <w:r>
        <w:t xml:space="preserve"> </w:t>
      </w:r>
      <w:r>
        <w:t xml:space="preserve">(</w:t>
      </w:r>
      <w:r>
        <w:rPr>
          <w:rStyle w:val="VerbatimChar"/>
        </w:rPr>
        <w:t xml:space="preserve">sex = ifelse(sex == 1, "M", "F")</w:t>
      </w:r>
      <w:r>
        <w:t xml:space="preserve">) exactly. It is also consistent with</w:t>
      </w:r>
      <w:r>
        <w:t xml:space="preserve"> </w:t>
      </w:r>
      <w:r>
        <w:t xml:space="preserve">the code frequencies in the raw file, which include the rare 0 and 3</w:t>
      </w:r>
      <w:r>
        <w:t xml:space="preserve"> </w:t>
      </w:r>
      <w:r>
        <w:t xml:space="preserve">categories the dictionary describes (0: 525; 1: 86,783; 2: 62,914; 3: 25;</w:t>
      </w:r>
      <w:r>
        <w:t xml:space="preserve"> </w:t>
      </w:r>
      <w:r>
        <w:t xml:space="preserve">missing: 706).</w:t>
      </w:r>
    </w:p>
    <w:bookmarkEnd w:id="11"/>
    <w:bookmarkStart w:id="12" w:name="X9a3acf36dcec22996d036c145c6386cb813469c"/>
    <w:p>
      <w:pPr>
        <w:pStyle w:val="Heading3"/>
      </w:pPr>
      <w:r>
        <w:t xml:space="preserve">2. The published data reproduce the repository extraction</w:t>
      </w:r>
    </w:p>
    <w:p>
      <w:pPr>
        <w:pStyle w:val="FirstParagraph"/>
      </w:pPr>
      <w:r>
        <w:t xml:space="preserve">The portal also publishes specimen-level biology. Queen Charlotte Sound</w:t>
      </w:r>
      <w:r>
        <w:t xml:space="preserve"> </w:t>
      </w:r>
      <w:r>
        <w:t xml:space="preserve">dogfish records, compared against the same survey in the repository copy: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sex 1: n, mean, q95, max</w:t>
            </w:r>
          </w:p>
        </w:tc>
        <w:tc>
          <w:tcPr/>
          <w:p>
            <w:pPr>
              <w:pStyle w:val="Compact"/>
            </w:pPr>
            <w:r>
              <w:t xml:space="preserve">sex 2: n, mean, q95, max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 data portal</w:t>
            </w:r>
          </w:p>
        </w:tc>
        <w:tc>
          <w:tcPr/>
          <w:p>
            <w:pPr>
              <w:pStyle w:val="Compact"/>
            </w:pPr>
            <w:r>
              <w:t xml:space="preserve">2920, 70.1, 85, 99</w:t>
            </w:r>
          </w:p>
        </w:tc>
        <w:tc>
          <w:tcPr/>
          <w:p>
            <w:pPr>
              <w:pStyle w:val="Compact"/>
            </w:pPr>
            <w:r>
              <w:t xml:space="preserve">1531, 64.4, 82, 118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survey-samples.rds</w:t>
            </w:r>
          </w:p>
        </w:tc>
        <w:tc>
          <w:tcPr/>
          <w:p>
            <w:pPr>
              <w:pStyle w:val="Compact"/>
            </w:pPr>
            <w:r>
              <w:t xml:space="preserve">3156, 69.9, 85, 99</w:t>
            </w:r>
          </w:p>
        </w:tc>
        <w:tc>
          <w:tcPr/>
          <w:p>
            <w:pPr>
              <w:pStyle w:val="Compact"/>
            </w:pPr>
            <w:r>
              <w:t xml:space="preserve">1681, 63.9, 81, 118</w:t>
            </w:r>
          </w:p>
        </w:tc>
      </w:tr>
    </w:tbl>
    <w:p>
      <w:pPr>
        <w:pStyle w:val="BodyText"/>
      </w:pPr>
      <w:r>
        <w:t xml:space="preserve">Lengths in cm. Small count differences reflect usability-code filtering.</w:t>
      </w:r>
      <w:r>
        <w:t xml:space="preserve"> </w:t>
      </w:r>
      <w:r>
        <w:t xml:space="preserve">The two sources agree, so the GFBio extraction is faithful.</w:t>
      </w:r>
    </w:p>
    <w:bookmarkEnd w:id="12"/>
    <w:bookmarkStart w:id="13" w:name="Xc7c634a7955a69be42b1a64e79809b41fb0b2a7"/>
    <w:p>
      <w:pPr>
        <w:pStyle w:val="Heading3"/>
      </w:pPr>
      <w:r>
        <w:t xml:space="preserve">3. Cross-check against unambiguous character codes</w:t>
      </w:r>
    </w:p>
    <w:p>
      <w:pPr>
        <w:pStyle w:val="FirstParagraph"/>
      </w:pPr>
      <w:r>
        <w:t xml:space="preserve">The IPHC length file carries character codes (</w:t>
      </w:r>
      <w:r>
        <w:rPr>
          <w:rStyle w:val="VerbatimChar"/>
        </w:rPr>
        <w:t xml:space="preserve">"F"</w:t>
      </w:r>
      <w:r>
        <w:t xml:space="preserve">,</w:t>
      </w:r>
      <w:r>
        <w:t xml:space="preserve"> </w:t>
      </w:r>
      <w:r>
        <w:rPr>
          <w:rStyle w:val="VerbatimChar"/>
        </w:rPr>
        <w:t xml:space="preserve">"M"</w:t>
      </w:r>
      <w:r>
        <w:t xml:space="preserve">) and so does</w:t>
      </w:r>
      <w:r>
        <w:t xml:space="preserve"> </w:t>
      </w:r>
      <w:r>
        <w:t xml:space="preserve">not depend on the numeric dictionary at all. Numeric code 2 tracks IPHC</w:t>
      </w:r>
      <w:r>
        <w:t xml:space="preserve"> </w:t>
      </w:r>
      <w:r>
        <w:t xml:space="preserve">“F”</w:t>
      </w:r>
      <w:r>
        <w:t xml:space="preserve"> </w:t>
      </w:r>
      <w:r>
        <w:t xml:space="preserve">and code 1 tracks</w:t>
      </w:r>
      <w:r>
        <w:t xml:space="preserve"> </w:t>
      </w:r>
      <w:r>
        <w:t xml:space="preserve">“M”</w:t>
      </w:r>
      <w:r>
        <w:t xml:space="preserve"> </w:t>
      </w:r>
      <w:r>
        <w:t xml:space="preserve">in every gear: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F mean</w:t>
            </w:r>
          </w:p>
        </w:tc>
        <w:tc>
          <w:tcPr/>
          <w:p>
            <w:pPr>
              <w:pStyle w:val="Compact"/>
            </w:pPr>
            <w:r>
              <w:t xml:space="preserve">F q95</w:t>
            </w:r>
          </w:p>
        </w:tc>
        <w:tc>
          <w:tcPr/>
          <w:p>
            <w:pPr>
              <w:pStyle w:val="Compact"/>
            </w:pPr>
            <w:r>
              <w:t xml:space="preserve">F max</w:t>
            </w:r>
          </w:p>
        </w:tc>
        <w:tc>
          <w:tcPr/>
          <w:p>
            <w:pPr>
              <w:pStyle w:val="Compact"/>
            </w:pPr>
            <w:r>
              <w:t xml:space="preserve">M mean</w:t>
            </w:r>
          </w:p>
        </w:tc>
        <w:tc>
          <w:tcPr/>
          <w:p>
            <w:pPr>
              <w:pStyle w:val="Compact"/>
            </w:pPr>
            <w:r>
              <w:t xml:space="preserve">M q95</w:t>
            </w:r>
          </w:p>
        </w:tc>
        <w:tc>
          <w:tcPr/>
          <w:p>
            <w:pPr>
              <w:pStyle w:val="Compact"/>
            </w:pPr>
            <w:r>
              <w:t xml:space="preserve">M max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IPHC (character codes)</w:t>
            </w:r>
          </w:p>
        </w:tc>
        <w:tc>
          <w:tcPr/>
          <w:p>
            <w:pPr>
              <w:pStyle w:val="Compact"/>
            </w:pPr>
            <w:r>
              <w:t xml:space="preserve">91.5</w:t>
            </w:r>
          </w:p>
        </w:tc>
        <w:tc>
          <w:tcPr/>
          <w:p>
            <w:pPr>
              <w:pStyle w:val="Compact"/>
            </w:pPr>
            <w:r>
              <w:t xml:space="preserve">108</w:t>
            </w:r>
          </w:p>
        </w:tc>
        <w:tc>
          <w:tcPr/>
          <w:p>
            <w:pPr>
              <w:pStyle w:val="Compact"/>
            </w:pPr>
            <w:r>
              <w:t xml:space="preserve">122</w:t>
            </w:r>
          </w:p>
        </w:tc>
        <w:tc>
          <w:tcPr/>
          <w:p>
            <w:pPr>
              <w:pStyle w:val="Compact"/>
            </w:pPr>
            <w:r>
              <w:t xml:space="preserve">78.1</w:t>
            </w:r>
          </w:p>
        </w:tc>
        <w:tc>
          <w:tcPr/>
          <w:p>
            <w:pPr>
              <w:pStyle w:val="Compact"/>
            </w:pPr>
            <w:r>
              <w:t xml:space="preserve">88</w:t>
            </w:r>
          </w:p>
        </w:tc>
        <w:tc>
          <w:tcPr/>
          <w:p>
            <w:pPr>
              <w:pStyle w:val="Compact"/>
            </w:pPr>
            <w:r>
              <w:t xml:space="preserve">115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Bottom trawl (code 2 / 1)</w:t>
            </w:r>
          </w:p>
        </w:tc>
        <w:tc>
          <w:tcPr/>
          <w:p>
            <w:pPr>
              <w:pStyle w:val="Compact"/>
            </w:pPr>
            <w:r>
              <w:t xml:space="preserve">94.1</w:t>
            </w:r>
          </w:p>
        </w:tc>
        <w:tc>
          <w:tcPr/>
          <w:p>
            <w:pPr>
              <w:pStyle w:val="Compact"/>
            </w:pPr>
            <w:r>
              <w:t xml:space="preserve">110</w:t>
            </w:r>
          </w:p>
        </w:tc>
        <w:tc>
          <w:tcPr/>
          <w:p>
            <w:pPr>
              <w:pStyle w:val="Compact"/>
            </w:pPr>
            <w:r>
              <w:t xml:space="preserve">124</w:t>
            </w:r>
          </w:p>
        </w:tc>
        <w:tc>
          <w:tcPr/>
          <w:p>
            <w:pPr>
              <w:pStyle w:val="Compact"/>
            </w:pPr>
            <w:r>
              <w:t xml:space="preserve">78.2</w:t>
            </w:r>
          </w:p>
        </w:tc>
        <w:tc>
          <w:tcPr/>
          <w:p>
            <w:pPr>
              <w:pStyle w:val="Compact"/>
            </w:pPr>
            <w:r>
              <w:t xml:space="preserve">91</w:t>
            </w:r>
          </w:p>
        </w:tc>
        <w:tc>
          <w:tcPr/>
          <w:p>
            <w:pPr>
              <w:pStyle w:val="Compact"/>
            </w:pPr>
            <w:r>
              <w:t xml:space="preserve">112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Longline (code 2 / 1)</w:t>
            </w:r>
          </w:p>
        </w:tc>
        <w:tc>
          <w:tcPr/>
          <w:p>
            <w:pPr>
              <w:pStyle w:val="Compact"/>
            </w:pPr>
            <w:r>
              <w:t xml:space="preserve">95.4</w:t>
            </w:r>
          </w:p>
        </w:tc>
        <w:tc>
          <w:tcPr/>
          <w:p>
            <w:pPr>
              <w:pStyle w:val="Compact"/>
            </w:pPr>
            <w:r>
              <w:t xml:space="preserve">110</w:t>
            </w:r>
          </w:p>
        </w:tc>
        <w:tc>
          <w:tcPr/>
          <w:p>
            <w:pPr>
              <w:pStyle w:val="Compact"/>
            </w:pPr>
            <w:r>
              <w:t xml:space="preserve">128</w:t>
            </w:r>
          </w:p>
        </w:tc>
        <w:tc>
          <w:tcPr/>
          <w:p>
            <w:pPr>
              <w:pStyle w:val="Compact"/>
            </w:pPr>
            <w:r>
              <w:t xml:space="preserve">82.3</w:t>
            </w:r>
          </w:p>
        </w:tc>
        <w:tc>
          <w:tcPr/>
          <w:p>
            <w:pPr>
              <w:pStyle w:val="Compact"/>
            </w:pPr>
            <w:r>
              <w:t xml:space="preserve">90</w:t>
            </w:r>
          </w:p>
        </w:tc>
        <w:tc>
          <w:tcPr/>
          <w:p>
            <w:pPr>
              <w:pStyle w:val="Compact"/>
            </w:pPr>
            <w:r>
              <w:t xml:space="preserve">114</w:t>
            </w:r>
          </w:p>
        </w:tc>
      </w:tr>
    </w:tbl>
    <w:bookmarkEnd w:id="13"/>
    <w:bookmarkStart w:id="14" w:name="the-maxima-never-invert"/>
    <w:p>
      <w:pPr>
        <w:pStyle w:val="Heading3"/>
      </w:pPr>
      <w:r>
        <w:t xml:space="preserve">4. The maxima never invert</w:t>
      </w:r>
    </w:p>
    <w:p>
      <w:pPr>
        <w:pStyle w:val="FirstParagraph"/>
      </w:pPr>
      <w:r>
        <w:t xml:space="preserve">Code 2 reaches 116-128 cm in every gear and survey; code 1 tops out at</w:t>
      </w:r>
      <w:r>
        <w:t xml:space="preserve"> </w:t>
      </w:r>
      <w:r>
        <w:t xml:space="preserve">99-115 cm. A label reversal flips an entire distribution, maximum</w:t>
      </w:r>
      <w:r>
        <w:t xml:space="preserve"> </w:t>
      </w:r>
      <w:r>
        <w:t xml:space="preserve">included. Here the maximum stays with code 2 even in the fleets where its</w:t>
      </w:r>
      <w:r>
        <w:t xml:space="preserve"> </w:t>
      </w:r>
      <w:r>
        <w:rPr>
          <w:i/>
          <w:iCs/>
        </w:rPr>
        <w:t xml:space="preserve">median</w:t>
      </w:r>
      <w:r>
        <w:t xml:space="preserve"> </w:t>
      </w:r>
      <w:r>
        <w:t xml:space="preserve">is smaller. That signature is not consistent with a swap. It is</w:t>
      </w:r>
      <w:r>
        <w:t xml:space="preserve"> </w:t>
      </w:r>
      <w:r>
        <w:t xml:space="preserve">consistent with females spanning a wider size range than males, which</w:t>
      </w:r>
      <w:r>
        <w:t xml:space="preserve"> </w:t>
      </w:r>
      <w:r>
        <w:t xml:space="preserve">mature small and stop growing.</w:t>
      </w:r>
    </w:p>
    <w:bookmarkEnd w:id="14"/>
    <w:bookmarkStart w:id="15" w:name="maturity-staging"/>
    <w:p>
      <w:pPr>
        <w:pStyle w:val="Heading3"/>
      </w:pPr>
      <w:r>
        <w:t xml:space="preserve">5. Maturity staging</w:t>
      </w:r>
    </w:p>
    <w:p>
      <w:pPr>
        <w:pStyle w:val="FirstParagraph"/>
      </w:pPr>
      <w:r>
        <w:t xml:space="preserve">Sex 1 is almost entirely a single maturity code (90, n = 13,738). Sex 2</w:t>
      </w:r>
      <w:r>
        <w:t xml:space="preserve"> </w:t>
      </w:r>
      <w:r>
        <w:t xml:space="preserve">carries the full staged ladder (50-56, 70-79, 95-99), which is the</w:t>
      </w:r>
      <w:r>
        <w:t xml:space="preserve"> </w:t>
      </w:r>
      <w:r>
        <w:t xml:space="preserve">gestation and uterus-condition staging that exists only for females.</w:t>
      </w:r>
    </w:p>
    <w:bookmarkEnd w:id="15"/>
    <w:bookmarkStart w:id="16" w:name="the-reversal-fits-materially-worse"/>
    <w:p>
      <w:pPr>
        <w:pStyle w:val="Heading3"/>
      </w:pPr>
      <w:r>
        <w:t xml:space="preserve">6. The reversal fits materially worse</w:t>
      </w:r>
    </w:p>
    <w:p>
      <w:pPr>
        <w:pStyle w:val="FirstParagraph"/>
      </w:pPr>
      <w:r>
        <w:t xml:space="preserve">We built</w:t>
      </w:r>
      <w:r>
        <w:t xml:space="preserve"> </w:t>
      </w:r>
      <w:r>
        <w:rPr>
          <w:rStyle w:val="VerbatimChar"/>
        </w:rPr>
        <w:t xml:space="preserve">S1_sexswap</w:t>
      </w:r>
      <w:r>
        <w:t xml:space="preserve"> </w:t>
      </w:r>
      <w:r>
        <w:t xml:space="preserve">by exchanging the 17 female and 17 male bins in all</w:t>
      </w:r>
      <w:r>
        <w:t xml:space="preserve"> </w:t>
      </w:r>
      <w:r>
        <w:t xml:space="preserve">73 length-composition rows of A0’s</w:t>
      </w:r>
      <w:r>
        <w:t xml:space="preserve"> </w:t>
      </w:r>
      <w:r>
        <w:rPr>
          <w:rStyle w:val="VerbatimChar"/>
        </w:rPr>
        <w:t xml:space="preserve">data.ss</w:t>
      </w:r>
      <w:r>
        <w:t xml:space="preserve">, confirmed no other part of</w:t>
      </w:r>
      <w:r>
        <w:t xml:space="preserve"> </w:t>
      </w:r>
      <w:r>
        <w:t xml:space="preserve">the file changed, and refit with the Hessian: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A0 (as coded)</w:t>
            </w:r>
          </w:p>
        </w:tc>
        <w:tc>
          <w:tcPr/>
          <w:p>
            <w:pPr>
              <w:pStyle w:val="Compact"/>
            </w:pPr>
            <w:r>
              <w:t xml:space="preserve">S1 (sexes swapped)</w:t>
            </w:r>
          </w:p>
        </w:tc>
        <w:tc>
          <w:tcPr/>
          <w:p>
            <w:pPr>
              <w:pStyle w:val="Compact"/>
            </w:pPr>
            <w:r>
              <w:t xml:space="preserve">change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Length composition</w:t>
            </w:r>
          </w:p>
        </w:tc>
        <w:tc>
          <w:tcPr/>
          <w:p>
            <w:pPr>
              <w:pStyle w:val="Compact"/>
            </w:pPr>
            <w:r>
              <w:t xml:space="preserve">671.1</w:t>
            </w:r>
          </w:p>
        </w:tc>
        <w:tc>
          <w:tcPr/>
          <w:p>
            <w:pPr>
              <w:pStyle w:val="Compact"/>
            </w:pPr>
            <w:r>
              <w:t xml:space="preserve">1006.9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+335.8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Survey</w:t>
            </w:r>
          </w:p>
        </w:tc>
        <w:tc>
          <w:tcPr/>
          <w:p>
            <w:pPr>
              <w:pStyle w:val="Compact"/>
            </w:pPr>
            <w:r>
              <w:t xml:space="preserve">922.5</w:t>
            </w:r>
          </w:p>
        </w:tc>
        <w:tc>
          <w:tcPr/>
          <w:p>
            <w:pPr>
              <w:pStyle w:val="Compact"/>
            </w:pPr>
            <w:r>
              <w:t xml:space="preserve">871.5</w:t>
            </w:r>
          </w:p>
        </w:tc>
        <w:tc>
          <w:tcPr/>
          <w:p>
            <w:pPr>
              <w:pStyle w:val="Compact"/>
            </w:pPr>
            <w:r>
              <w:t xml:space="preserve">-51.0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 priors</w:t>
            </w:r>
          </w:p>
        </w:tc>
        <w:tc>
          <w:tcPr/>
          <w:p>
            <w:pPr>
              <w:pStyle w:val="Compact"/>
            </w:pPr>
            <w:r>
              <w:t xml:space="preserve">52.7</w:t>
            </w:r>
          </w:p>
        </w:tc>
        <w:tc>
          <w:tcPr/>
          <w:p>
            <w:pPr>
              <w:pStyle w:val="Compact"/>
            </w:pPr>
            <w:r>
              <w:t xml:space="preserve">138.3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+85.7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1646.4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2016.9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+370.5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Depletion 2023</w:t>
            </w:r>
          </w:p>
        </w:tc>
        <w:tc>
          <w:tcPr/>
          <w:p>
            <w:pPr>
              <w:pStyle w:val="Compact"/>
            </w:pPr>
            <w:r>
              <w:t xml:space="preserve">0.086</w:t>
            </w:r>
          </w:p>
        </w:tc>
        <w:tc>
          <w:tcPr/>
          <w:p>
            <w:pPr>
              <w:pStyle w:val="Compact"/>
            </w:pPr>
            <w:r>
              <w:t xml:space="preserve">0.076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The mechanism is visible in the aggregate composition fits</w:t>
      </w:r>
      <w:r>
        <w:t xml:space="preserve"> </w:t>
      </w:r>
      <w:r>
        <w:t xml:space="preserve">(</w:t>
      </w:r>
      <w:r>
        <w:rPr>
          <w:rStyle w:val="VerbatimChar"/>
        </w:rPr>
        <w:t xml:space="preserve">review/figs/02-sexswap-comp-fits.png</w:t>
      </w:r>
      <w:r>
        <w:t xml:space="preserve">). The swap requires large numbers</w:t>
      </w:r>
      <w:r>
        <w:t xml:space="preserve"> </w:t>
      </w:r>
      <w:r>
        <w:t xml:space="preserve">of males at 95-105 cm in the landings fleets, against a male asymptotic</w:t>
      </w:r>
      <w:r>
        <w:t xml:space="preserve"> </w:t>
      </w:r>
      <w:r>
        <w:t xml:space="preserve">length of roughly 84 cm and a female value of 97.4 cm. The model cannot</w:t>
      </w:r>
      <w:r>
        <w:t xml:space="preserve"> </w:t>
      </w:r>
      <w:r>
        <w:t xml:space="preserve">reach that, so the compositions misfit and selectivity is driven hard</w:t>
      </w:r>
      <w:r>
        <w:t xml:space="preserve"> </w:t>
      </w:r>
      <w:r>
        <w:t xml:space="preserve">against its priors – the contortion anticipated in S.5, but appearing in</w:t>
      </w:r>
      <w:r>
        <w:t xml:space="preserve"> </w:t>
      </w:r>
      <w:r>
        <w:t xml:space="preserve">the swapped configuration rather than the base.</w:t>
      </w:r>
    </w:p>
    <w:bookmarkEnd w:id="16"/>
    <w:bookmarkStart w:id="17" w:name="X23c8449cfeab6e8e7674f547492ec74ec1cf344"/>
    <w:p>
      <w:pPr>
        <w:pStyle w:val="Heading3"/>
      </w:pPr>
      <w:r>
        <w:t xml:space="preserve">7. The direction is inconsistent across fleets</w:t>
      </w:r>
    </w:p>
    <w:p>
      <w:pPr>
        <w:pStyle w:val="FirstParagraph"/>
      </w:pPr>
      <w:r>
        <w:t xml:space="preserve">Mean observed length by sex in A0’s own compositions, aggregated over</w:t>
      </w:r>
      <w:r>
        <w:t xml:space="preserve"> </w:t>
      </w:r>
      <w:r>
        <w:t xml:space="preserve">years: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fleet</w:t>
            </w:r>
          </w:p>
        </w:tc>
        <w:tc>
          <w:tcPr/>
          <w:p>
            <w:pPr>
              <w:pStyle w:val="Compact"/>
            </w:pPr>
            <w:r>
              <w:t xml:space="preserve">mean F</w:t>
            </w:r>
          </w:p>
        </w:tc>
        <w:tc>
          <w:tcPr/>
          <w:p>
            <w:pPr>
              <w:pStyle w:val="Compact"/>
            </w:pPr>
            <w:r>
              <w:t xml:space="preserve">mean M</w:t>
            </w:r>
          </w:p>
        </w:tc>
        <w:tc>
          <w:tcPr/>
          <w:p>
            <w:pPr>
              <w:pStyle w:val="Compact"/>
            </w:pPr>
            <w:r>
              <w:t xml:space="preserve">F - M</w:t>
            </w:r>
          </w:p>
        </w:tc>
        <w:tc>
          <w:tcPr/>
          <w:p>
            <w:pPr>
              <w:pStyle w:val="Compact"/>
            </w:pPr>
            <w:r>
              <w:t xml:space="preserve">proportion female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Bottom Trawl Landings</w:t>
            </w:r>
          </w:p>
        </w:tc>
        <w:tc>
          <w:tcPr/>
          <w:p>
            <w:pPr>
              <w:pStyle w:val="Compact"/>
            </w:pPr>
            <w:r>
              <w:t xml:space="preserve">95.7</w:t>
            </w:r>
          </w:p>
        </w:tc>
        <w:tc>
          <w:tcPr/>
          <w:p>
            <w:pPr>
              <w:pStyle w:val="Compact"/>
            </w:pPr>
            <w:r>
              <w:t xml:space="preserve">80.6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+15.1</w:t>
            </w:r>
          </w:p>
        </w:tc>
        <w:tc>
          <w:tcPr/>
          <w:p>
            <w:pPr>
              <w:pStyle w:val="Compact"/>
            </w:pPr>
            <w:r>
              <w:t xml:space="preserve">0.90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HookLine Landings</w:t>
            </w:r>
          </w:p>
        </w:tc>
        <w:tc>
          <w:tcPr/>
          <w:p>
            <w:pPr>
              <w:pStyle w:val="Compact"/>
            </w:pPr>
            <w:r>
              <w:t xml:space="preserve">96.3</w:t>
            </w:r>
          </w:p>
        </w:tc>
        <w:tc>
          <w:tcPr/>
          <w:p>
            <w:pPr>
              <w:pStyle w:val="Compact"/>
            </w:pPr>
            <w:r>
              <w:t xml:space="preserve">82.2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+14.1</w:t>
            </w:r>
          </w:p>
        </w:tc>
        <w:tc>
          <w:tcPr/>
          <w:p>
            <w:pPr>
              <w:pStyle w:val="Compact"/>
            </w:pPr>
            <w:r>
              <w:t xml:space="preserve">0.84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IPHC</w:t>
            </w:r>
          </w:p>
        </w:tc>
        <w:tc>
          <w:tcPr/>
          <w:p>
            <w:pPr>
              <w:pStyle w:val="Compact"/>
            </w:pPr>
            <w:r>
              <w:t xml:space="preserve">88.9</w:t>
            </w:r>
          </w:p>
        </w:tc>
        <w:tc>
          <w:tcPr/>
          <w:p>
            <w:pPr>
              <w:pStyle w:val="Compact"/>
            </w:pPr>
            <w:r>
              <w:t xml:space="preserve">75.6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+13.3</w:t>
            </w:r>
          </w:p>
        </w:tc>
        <w:tc>
          <w:tcPr/>
          <w:p>
            <w:pPr>
              <w:pStyle w:val="Compact"/>
            </w:pPr>
            <w:r>
              <w:t xml:space="preserve">0.59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Bottom Trawl Discards</w:t>
            </w:r>
          </w:p>
        </w:tc>
        <w:tc>
          <w:tcPr/>
          <w:p>
            <w:pPr>
              <w:pStyle w:val="Compact"/>
            </w:pPr>
            <w:r>
              <w:t xml:space="preserve">67.0</w:t>
            </w:r>
          </w:p>
        </w:tc>
        <w:tc>
          <w:tcPr/>
          <w:p>
            <w:pPr>
              <w:pStyle w:val="Compact"/>
            </w:pPr>
            <w:r>
              <w:t xml:space="preserve">66.0</w:t>
            </w:r>
          </w:p>
        </w:tc>
        <w:tc>
          <w:tcPr/>
          <w:p>
            <w:pPr>
              <w:pStyle w:val="Compact"/>
            </w:pPr>
            <w:r>
              <w:t xml:space="preserve">+1.0</w:t>
            </w:r>
          </w:p>
        </w:tc>
        <w:tc>
          <w:tcPr/>
          <w:p>
            <w:pPr>
              <w:pStyle w:val="Compact"/>
            </w:pPr>
            <w:r>
              <w:t xml:space="preserve">0.49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</w:t>
            </w:r>
          </w:p>
        </w:tc>
        <w:tc>
          <w:tcPr/>
          <w:p>
            <w:pPr>
              <w:pStyle w:val="Compact"/>
            </w:pPr>
            <w:r>
              <w:t xml:space="preserve">67.2</w:t>
            </w:r>
          </w:p>
        </w:tc>
        <w:tc>
          <w:tcPr/>
          <w:p>
            <w:pPr>
              <w:pStyle w:val="Compact"/>
            </w:pPr>
            <w:r>
              <w:t xml:space="preserve">67.7</w:t>
            </w:r>
          </w:p>
        </w:tc>
        <w:tc>
          <w:tcPr/>
          <w:p>
            <w:pPr>
              <w:pStyle w:val="Compact"/>
            </w:pPr>
            <w:r>
              <w:t xml:space="preserve">-0.5</w:t>
            </w:r>
          </w:p>
        </w:tc>
        <w:tc>
          <w:tcPr/>
          <w:p>
            <w:pPr>
              <w:pStyle w:val="Compact"/>
            </w:pPr>
            <w:r>
              <w:t xml:space="preserve">0.46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Midwater Trawl</w:t>
            </w:r>
          </w:p>
        </w:tc>
        <w:tc>
          <w:tcPr/>
          <w:p>
            <w:pPr>
              <w:pStyle w:val="Compact"/>
            </w:pPr>
            <w:r>
              <w:t xml:space="preserve">56.3</w:t>
            </w:r>
          </w:p>
        </w:tc>
        <w:tc>
          <w:tcPr/>
          <w:p>
            <w:pPr>
              <w:pStyle w:val="Compact"/>
            </w:pPr>
            <w:r>
              <w:t xml:space="preserve">63.6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-7.4</w:t>
            </w:r>
          </w:p>
        </w:tc>
        <w:tc>
          <w:tcPr/>
          <w:p>
            <w:pPr>
              <w:pStyle w:val="Compact"/>
            </w:pPr>
            <w:r>
              <w:t xml:space="preserve">0.42</w:t>
            </w:r>
          </w:p>
        </w:tc>
      </w:tr>
    </w:tbl>
    <w:p>
      <w:pPr>
        <w:pStyle w:val="BodyText"/>
      </w:pPr>
      <w:r>
        <w:t xml:space="preserve">Four of six fleets run in the expected direction, three of them by 13-15</w:t>
      </w:r>
      <w:r>
        <w:t xml:space="preserve"> </w:t>
      </w:r>
      <w:r>
        <w:t xml:space="preserve">cm. Aggregated across years only midwater trawl shows the flagged pattern</w:t>
      </w:r>
      <w:r>
        <w:t xml:space="preserve"> </w:t>
      </w:r>
      <w:r>
        <w:t xml:space="preserve">materially; SYN is -0.5 cm, which is no difference. Individual Synoptic</w:t>
      </w:r>
      <w:r>
        <w:t xml:space="preserve"> </w:t>
      </w:r>
      <w:r>
        <w:t xml:space="preserve">years may still resemble Figures 7 and 9.</w:t>
      </w:r>
    </w:p>
    <w:p>
      <w:pPr>
        <w:pStyle w:val="BodyText"/>
      </w:pPr>
      <w:r>
        <w:t xml:space="preserve">This distribution is itself an argument against a coding error,</w:t>
      </w:r>
      <w:r>
        <w:t xml:space="preserve"> </w:t>
      </w:r>
      <w:r>
        <w:t xml:space="preserve">independent of the raw data. A dictionary error is a property of the</w:t>
      </w:r>
      <w:r>
        <w:t xml:space="preserve"> </w:t>
      </w:r>
      <w:r>
        <w:t xml:space="preserve">source system, so it must flip every fleet drawn from that system in the</w:t>
      </w:r>
      <w:r>
        <w:t xml:space="preserve"> </w:t>
      </w:r>
      <w:r>
        <w:t xml:space="preserve">same direction. Midwater trawl and bottom-trawl landings both come from</w:t>
      </w:r>
      <w:r>
        <w:t xml:space="preserve"> </w:t>
      </w:r>
      <w:r>
        <w:rPr>
          <w:rStyle w:val="VerbatimChar"/>
        </w:rPr>
        <w:t xml:space="preserve">commercial-samples.rds</w:t>
      </w:r>
      <w:r>
        <w:t xml:space="preserve"> </w:t>
      </w:r>
      <w:r>
        <w:t xml:space="preserve">and are both numerically coded, yet they run in</w:t>
      </w:r>
      <w:r>
        <w:t xml:space="preserve"> </w:t>
      </w:r>
      <w:r>
        <w:t xml:space="preserve">opposite directions. No dictionary swap can produce that.</w:t>
      </w:r>
    </w:p>
    <w:bookmarkEnd w:id="17"/>
    <w:bookmarkStart w:id="18" w:name="midwater-trawls-own-data-reject-the-swap"/>
    <w:p>
      <w:pPr>
        <w:pStyle w:val="Heading3"/>
      </w:pPr>
      <w:r>
        <w:t xml:space="preserve">8. Midwater trawl’s own data reject the swap</w:t>
      </w:r>
    </w:p>
    <w:p>
      <w:pPr>
        <w:pStyle w:val="FirstParagraph"/>
      </w:pPr>
      <w:r>
        <w:t xml:space="preserve">The obvious follow-up is whether midwater trawl, the one fleet that shows</w:t>
      </w:r>
      <w:r>
        <w:t xml:space="preserve"> </w:t>
      </w:r>
      <w:r>
        <w:t xml:space="preserve">the pattern materially, fits better when reversed. It does not. We</w:t>
      </w:r>
      <w:r>
        <w:t xml:space="preserve"> </w:t>
      </w:r>
      <w:r>
        <w:t xml:space="preserve">decomposed the length-composition likelihood by fleet, and additionally</w:t>
      </w:r>
      <w:r>
        <w:t xml:space="preserve"> </w:t>
      </w:r>
      <w:r>
        <w:t xml:space="preserve">fit</w:t>
      </w:r>
      <w:r>
        <w:t xml:space="preserve"> </w:t>
      </w:r>
      <w:r>
        <w:rPr>
          <w:rStyle w:val="VerbatimChar"/>
        </w:rPr>
        <w:t xml:space="preserve">S2_mwswap</w:t>
      </w:r>
      <w:r>
        <w:t xml:space="preserve">, in which only the 14 midwater trawl rows are exchanged</w:t>
      </w:r>
      <w:r>
        <w:t xml:space="preserve"> </w:t>
      </w:r>
      <w:r>
        <w:t xml:space="preserve">and every other fleet is left as coded.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fleet</w:t>
            </w:r>
          </w:p>
        </w:tc>
        <w:tc>
          <w:tcPr/>
          <w:p>
            <w:pPr>
              <w:pStyle w:val="Compact"/>
            </w:pPr>
            <w:r>
              <w:t xml:space="preserve">A0</w:t>
            </w:r>
          </w:p>
        </w:tc>
        <w:tc>
          <w:tcPr/>
          <w:p>
            <w:pPr>
              <w:pStyle w:val="Compact"/>
            </w:pPr>
            <w:r>
              <w:t xml:space="preserve">all swapped</w:t>
            </w:r>
          </w:p>
        </w:tc>
        <w:tc>
          <w:tcPr/>
          <w:p>
            <w:pPr>
              <w:pStyle w:val="Compact"/>
            </w:pPr>
            <w:r>
              <w:t xml:space="preserve">MW-only swapped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Bottom Trawl Landings</w:t>
            </w:r>
          </w:p>
        </w:tc>
        <w:tc>
          <w:tcPr/>
          <w:p>
            <w:pPr>
              <w:pStyle w:val="Compact"/>
            </w:pPr>
            <w:r>
              <w:t xml:space="preserve">34.5</w:t>
            </w:r>
          </w:p>
        </w:tc>
        <w:tc>
          <w:tcPr/>
          <w:p>
            <w:pPr>
              <w:pStyle w:val="Compact"/>
            </w:pPr>
            <w:r>
              <w:t xml:space="preserve">128.1</w:t>
            </w:r>
          </w:p>
        </w:tc>
        <w:tc>
          <w:tcPr/>
          <w:p>
            <w:pPr>
              <w:pStyle w:val="Compact"/>
            </w:pPr>
            <w:r>
              <w:t xml:space="preserve">34.9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Bottom Trawl Discards</w:t>
            </w:r>
          </w:p>
        </w:tc>
        <w:tc>
          <w:tcPr/>
          <w:p>
            <w:pPr>
              <w:pStyle w:val="Compact"/>
            </w:pPr>
            <w:r>
              <w:t xml:space="preserve">65.7</w:t>
            </w:r>
          </w:p>
        </w:tc>
        <w:tc>
          <w:tcPr/>
          <w:p>
            <w:pPr>
              <w:pStyle w:val="Compact"/>
            </w:pPr>
            <w:r>
              <w:t xml:space="preserve">61.7</w:t>
            </w:r>
          </w:p>
        </w:tc>
        <w:tc>
          <w:tcPr/>
          <w:p>
            <w:pPr>
              <w:pStyle w:val="Compact"/>
            </w:pPr>
            <w:r>
              <w:t xml:space="preserve">67.8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Midwater Trawl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108.1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118.5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119.5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HookLine Landings</w:t>
            </w:r>
          </w:p>
        </w:tc>
        <w:tc>
          <w:tcPr/>
          <w:p>
            <w:pPr>
              <w:pStyle w:val="Compact"/>
            </w:pPr>
            <w:r>
              <w:t xml:space="preserve">35.1</w:t>
            </w:r>
          </w:p>
        </w:tc>
        <w:tc>
          <w:tcPr/>
          <w:p>
            <w:pPr>
              <w:pStyle w:val="Compact"/>
            </w:pPr>
            <w:r>
              <w:t xml:space="preserve">129.1</w:t>
            </w:r>
          </w:p>
        </w:tc>
        <w:tc>
          <w:tcPr/>
          <w:p>
            <w:pPr>
              <w:pStyle w:val="Compact"/>
            </w:pPr>
            <w:r>
              <w:t xml:space="preserve">35.1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IPHC</w:t>
            </w:r>
          </w:p>
        </w:tc>
        <w:tc>
          <w:tcPr/>
          <w:p>
            <w:pPr>
              <w:pStyle w:val="Compact"/>
            </w:pPr>
            <w:r>
              <w:t xml:space="preserve">168.5</w:t>
            </w:r>
          </w:p>
        </w:tc>
        <w:tc>
          <w:tcPr/>
          <w:p>
            <w:pPr>
              <w:pStyle w:val="Compact"/>
            </w:pPr>
            <w:r>
              <w:t xml:space="preserve">288.9</w:t>
            </w:r>
          </w:p>
        </w:tc>
        <w:tc>
          <w:tcPr/>
          <w:p>
            <w:pPr>
              <w:pStyle w:val="Compact"/>
            </w:pPr>
            <w:r>
              <w:t xml:space="preserve">172.0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</w:t>
            </w:r>
          </w:p>
        </w:tc>
        <w:tc>
          <w:tcPr/>
          <w:p>
            <w:pPr>
              <w:pStyle w:val="Compact"/>
            </w:pPr>
            <w:r>
              <w:t xml:space="preserve">259.1</w:t>
            </w:r>
          </w:p>
        </w:tc>
        <w:tc>
          <w:tcPr/>
          <w:p>
            <w:pPr>
              <w:pStyle w:val="Compact"/>
            </w:pPr>
            <w:r>
              <w:t xml:space="preserve">280.6</w:t>
            </w:r>
          </w:p>
        </w:tc>
        <w:tc>
          <w:tcPr/>
          <w:p>
            <w:pPr>
              <w:pStyle w:val="Compact"/>
            </w:pPr>
            <w:r>
              <w:t xml:space="preserve">917.6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objective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1646.4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2016.9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2309.1</w:t>
            </w:r>
          </w:p>
        </w:tc>
      </w:tr>
    </w:tbl>
    <w:p>
      <w:pPr>
        <w:pStyle w:val="BodyText"/>
      </w:pPr>
      <w:r>
        <w:t xml:space="preserve">Midwater trawl is worse under both configurations: 108.1 as coded, 118.5</w:t>
      </w:r>
      <w:r>
        <w:t xml:space="preserve"> </w:t>
      </w:r>
      <w:r>
        <w:t xml:space="preserve">when all fleets are swapped, 119.5 when it alone is swapped. The only</w:t>
      </w:r>
      <w:r>
        <w:t xml:space="preserve"> </w:t>
      </w:r>
      <w:r>
        <w:t xml:space="preserve">fleet that improves anywhere is Bottom Trawl Discards, by 4.0 units under</w:t>
      </w:r>
      <w:r>
        <w:t xml:space="preserve"> </w:t>
      </w:r>
      <w:r>
        <w:t xml:space="preserve">the global swap, and that is the fleet with essentially no sex difference</w:t>
      </w:r>
      <w:r>
        <w:t xml:space="preserve"> </w:t>
      </w:r>
      <w:r>
        <w:t xml:space="preserve">to begin with (+1.0 cm).</w:t>
      </w:r>
    </w:p>
    <w:p>
      <w:pPr>
        <w:pStyle w:val="BodyText"/>
      </w:pPr>
      <w:r>
        <w:t xml:space="preserve">The single-fleet swap is also the worst configuration overall, at 2309.1</w:t>
      </w:r>
      <w:r>
        <w:t xml:space="preserve"> </w:t>
      </w:r>
      <w:r>
        <w:t xml:space="preserve">against 1646.4 as coded. This is informative rather than incidental. The</w:t>
      </w:r>
      <w:r>
        <w:t xml:space="preserve"> </w:t>
      </w:r>
      <w:r>
        <w:t xml:space="preserve">compositions are entered as joint sex-length vectors (sex code 3), so they</w:t>
      </w:r>
      <w:r>
        <w:t xml:space="preserve"> </w:t>
      </w:r>
      <w:r>
        <w:t xml:space="preserve">jointly constrain the population sex ratio and the fleets are not</w:t>
      </w:r>
      <w:r>
        <w:t xml:space="preserve"> </w:t>
      </w:r>
      <w:r>
        <w:t xml:space="preserve">independent. One fleet disagreeing with five others is harder to</w:t>
      </w:r>
      <w:r>
        <w:t xml:space="preserve"> </w:t>
      </w:r>
      <w:r>
        <w:t xml:space="preserve">accommodate than a uniform reversal. SYN absorbs most of the penalty</w:t>
      </w:r>
      <w:r>
        <w:t xml:space="preserve"> </w:t>
      </w:r>
      <w:r>
        <w:t xml:space="preserve">(+658.5) because it has the most rows and the broadest length coverage;</w:t>
      </w:r>
      <w:r>
        <w:t xml:space="preserve"> </w:t>
      </w:r>
      <w:r>
        <w:t xml:space="preserve">its selectivity is estimated independently (pattern 24, not mirrored to</w:t>
      </w:r>
      <w:r>
        <w:t xml:space="preserve"> </w:t>
      </w:r>
      <w:r>
        <w:t xml:space="preserve">midwater trawl), so the penalty propagates through the shared population</w:t>
      </w:r>
      <w:r>
        <w:t xml:space="preserve"> </w:t>
      </w:r>
      <w:r>
        <w:t xml:space="preserve">rather than through shared parameters.</w:t>
      </w:r>
    </w:p>
    <w:bookmarkEnd w:id="18"/>
    <w:bookmarkEnd w:id="19"/>
    <w:bookmarkStart w:id="20" w:name="what-the-anomaly-actually-is"/>
    <w:p>
      <w:pPr>
        <w:pStyle w:val="Heading2"/>
      </w:pPr>
      <w:r>
        <w:t xml:space="preserve">What the anomaly actually is</w:t>
      </w:r>
    </w:p>
    <w:p>
      <w:pPr>
        <w:pStyle w:val="FirstParagraph"/>
      </w:pPr>
      <w:r>
        <w:t xml:space="preserve">Female dogfish span roughly 40 to 120+ cm. Males compress into a narrow</w:t>
      </w:r>
      <w:r>
        <w:t xml:space="preserve"> </w:t>
      </w:r>
      <w:r>
        <w:t xml:space="preserve">adult band near 70-90 cm. In gear that catches predominantly juveniles the</w:t>
      </w:r>
      <w:r>
        <w:t xml:space="preserve"> </w:t>
      </w:r>
      <w:r>
        <w:t xml:space="preserve">female mode therefore sits</w:t>
      </w:r>
      <w:r>
        <w:t xml:space="preserve"> </w:t>
      </w:r>
      <w:r>
        <w:rPr>
          <w:i/>
          <w:iCs/>
        </w:rPr>
        <w:t xml:space="preserve">below</w:t>
      </w:r>
      <w:r>
        <w:t xml:space="preserve"> </w:t>
      </w:r>
      <w:r>
        <w:t xml:space="preserve">the male mode while the female tail</w:t>
      </w:r>
      <w:r>
        <w:t xml:space="preserve"> </w:t>
      </w:r>
      <w:r>
        <w:t xml:space="preserve">still extends far above it. Midwater trawl is the clear case: female mode</w:t>
      </w:r>
      <w:r>
        <w:t xml:space="preserve"> </w:t>
      </w:r>
      <w:r>
        <w:t xml:space="preserve">near 58 cm against a male mode near 78 cm, with female maximum 116 cm</w:t>
      </w:r>
      <w:r>
        <w:t xml:space="preserve"> </w:t>
      </w:r>
      <w:r>
        <w:t xml:space="preserve">against male 110 cm. This is size structure and availability, and it is</w:t>
      </w:r>
      <w:r>
        <w:t xml:space="preserve"> </w:t>
      </w:r>
      <w:r>
        <w:t xml:space="preserve">the branch anticipated in your S.12 (</w:t>
      </w:r>
      <w:r>
        <w:t xml:space="preserve">“If sex codes are correct,</w:t>
      </w:r>
      <w:r>
        <w:t xml:space="preserve"> </w:t>
      </w:r>
      <w:r>
        <w:t xml:space="preserve">investigate spatial availability, sampling, and fleet behaviour”</w:t>
      </w:r>
      <w:r>
        <w:t xml:space="preserve">).</w:t>
      </w:r>
    </w:p>
    <w:bookmarkEnd w:id="20"/>
    <w:bookmarkStart w:id="21" w:name="disposition"/>
    <w:p>
      <w:pPr>
        <w:pStyle w:val="Heading2"/>
      </w:pPr>
      <w:r>
        <w:t xml:space="preserve">Disposition</w:t>
      </w:r>
    </w:p>
    <w:p>
      <w:pPr>
        <w:pStyle w:val="Compact"/>
        <w:numPr>
          <w:ilvl w:val="0"/>
          <w:numId w:val="1001"/>
        </w:numPr>
      </w:pPr>
      <w:r>
        <w:t xml:space="preserve">The S.11 run gate can be lifted. Compositions do not need rebuilding.</w:t>
      </w:r>
    </w:p>
    <w:p>
      <w:pPr>
        <w:pStyle w:val="Compact"/>
        <w:numPr>
          <w:ilvl w:val="0"/>
          <w:numId w:val="1001"/>
        </w:numPr>
      </w:pPr>
      <w:r>
        <w:t xml:space="preserve">The S.15 request for the authoritative sex-code dictionary is closed;</w:t>
      </w:r>
      <w:r>
        <w:t xml:space="preserve"> </w:t>
      </w:r>
      <w:r>
        <w:t xml:space="preserve">the source is cited in section 1 above and is publicly available.</w:t>
      </w:r>
    </w:p>
    <w:p>
      <w:pPr>
        <w:pStyle w:val="Compact"/>
        <w:numPr>
          <w:ilvl w:val="0"/>
          <w:numId w:val="1001"/>
        </w:numPr>
      </w:pPr>
      <w:r>
        <w:t xml:space="preserve">The S.5 structural question – whether common gear selectivity-at-length</w:t>
      </w:r>
      <w:r>
        <w:t xml:space="preserve"> </w:t>
      </w:r>
      <w:r>
        <w:t xml:space="preserve">across sexes is the better rebuilding baseline – is untouched by this</w:t>
      </w:r>
      <w:r>
        <w:t xml:space="preserve"> </w:t>
      </w:r>
      <w:r>
        <w:t xml:space="preserve">result. We note that in A0 male selectivity in both Bottom Trawl</w:t>
      </w:r>
      <w:r>
        <w:t xml:space="preserve"> </w:t>
      </w:r>
      <w:r>
        <w:t xml:space="preserve">Landings and HookLine Landings is effectively zero, i.e. the model</w:t>
      </w:r>
      <w:r>
        <w:t xml:space="preserve"> </w:t>
      </w:r>
      <w:r>
        <w:t xml:space="preserve">attributes the landed catch almost entirely to females. That is a strong</w:t>
      </w:r>
      <w:r>
        <w:t xml:space="preserve"> </w:t>
      </w:r>
      <w:r>
        <w:t xml:space="preserve">claim resting on sex-specific selectivity and we suggest it is the</w:t>
      </w:r>
      <w:r>
        <w:t xml:space="preserve"> </w:t>
      </w:r>
      <w:r>
        <w:t xml:space="preserve">higher-value target for the bounded diagnostic programme in S.10.</w:t>
      </w:r>
    </w:p>
    <w:bookmarkEnd w:id="21"/>
    <w:bookmarkStart w:id="22" w:name="reproduction-status"/>
    <w:p>
      <w:pPr>
        <w:pStyle w:val="Heading2"/>
      </w:pPr>
      <w:r>
        <w:t xml:space="preserve">Reproduction status</w:t>
      </w:r>
    </w:p>
    <w:p>
      <w:pPr>
        <w:pStyle w:val="FirstParagraph"/>
      </w:pPr>
      <w:r>
        <w:t xml:space="preserve">For the record, the items listed as missing in S.11 have been</w:t>
      </w:r>
      <w:r>
        <w:t xml:space="preserve"> </w:t>
      </w:r>
      <w:r>
        <w:t xml:space="preserve">reconstructed:</w:t>
      </w:r>
    </w:p>
    <w:p>
      <w:pPr>
        <w:pStyle w:val="Compact"/>
        <w:numPr>
          <w:ilvl w:val="0"/>
          <w:numId w:val="1002"/>
        </w:numPr>
      </w:pPr>
      <w:r>
        <w:t xml:space="preserve">SS3 v3.30.22.1 (</w:t>
      </w:r>
      <w:r>
        <w:rPr>
          <w:rStyle w:val="VerbatimChar"/>
        </w:rPr>
        <w:t xml:space="preserve">ss3_opt_osx_arm64</w:t>
      </w:r>
      <w:r>
        <w:t xml:space="preserve">, SHA-256</w:t>
      </w:r>
      <w:r>
        <w:t xml:space="preserve"> </w:t>
      </w:r>
      <w:r>
        <w:rPr>
          <w:rStyle w:val="VerbatimChar"/>
        </w:rPr>
        <w:t xml:space="preserve">38870aa0...f756ea5dc5</w:t>
      </w:r>
      <w:r>
        <w:t xml:space="preserve">), pinned and fetched by script.</w:t>
      </w:r>
    </w:p>
    <w:p>
      <w:pPr>
        <w:pStyle w:val="Compact"/>
        <w:numPr>
          <w:ilvl w:val="0"/>
          <w:numId w:val="1002"/>
        </w:numPr>
      </w:pPr>
      <w:r>
        <w:t xml:space="preserve">All 21 A- and B-series configurations refit and converged, maximum</w:t>
      </w:r>
      <w:r>
        <w:t xml:space="preserve"> </w:t>
      </w:r>
      <w:r>
        <w:t xml:space="preserve">gradient 1e-8 to 1.6e-3.</w:t>
      </w:r>
    </w:p>
    <w:p>
      <w:pPr>
        <w:pStyle w:val="Compact"/>
        <w:numPr>
          <w:ilvl w:val="0"/>
          <w:numId w:val="1002"/>
        </w:numPr>
      </w:pPr>
      <w:r>
        <w:t xml:space="preserve">A0 reproduces the published base depletion: 0.086 with standard</w:t>
      </w:r>
      <w:r>
        <w:t xml:space="preserve"> </w:t>
      </w:r>
      <w:r>
        <w:t xml:space="preserve">deviation 0.005, against</w:t>
      </w:r>
      <w:r>
        <w:t xml:space="preserve"> </w:t>
      </w:r>
      <w:r>
        <w:rPr>
          <w:rStyle w:val="VerbatimChar"/>
        </w:rPr>
        <w:t xml:space="preserve">\BaseDepl</w:t>
      </w:r>
      <w:r>
        <w:t xml:space="preserve"> </w:t>
      </w:r>
      <w:r>
        <w:t xml:space="preserve">0.09 and CI 0.08-0.09.</w:t>
      </w:r>
    </w:p>
    <w:p>
      <w:pPr>
        <w:pStyle w:val="Compact"/>
        <w:numPr>
          <w:ilvl w:val="0"/>
          <w:numId w:val="1002"/>
        </w:numPr>
      </w:pPr>
      <w:r>
        <w:t xml:space="preserve">Note that A8 (HBLL only) returns depletion 0.997 with zero standard</w:t>
      </w:r>
      <w:r>
        <w:t xml:space="preserve"> </w:t>
      </w:r>
      <w:r>
        <w:t xml:space="preserve">deviation and an unfished spawning output of 1.08e7. It appears to carry</w:t>
      </w:r>
      <w:r>
        <w:t xml:space="preserve"> </w:t>
      </w:r>
      <w:r>
        <w:t xml:space="preserve">no scale information and should not be given weight in an ensemble.</w:t>
      </w:r>
    </w:p>
    <w:p>
      <w:pPr>
        <w:pStyle w:val="Compact"/>
        <w:numPr>
          <w:ilvl w:val="0"/>
          <w:numId w:val="1002"/>
        </w:numPr>
      </w:pPr>
      <w:r>
        <w:t xml:space="preserve">The R environment is pinned in an</w:t>
      </w:r>
      <w:r>
        <w:t xml:space="preserve"> </w:t>
      </w:r>
      <w:r>
        <w:rPr>
          <w:rStyle w:val="VerbatimChar"/>
        </w:rPr>
        <w:t xml:space="preserve">renv.lock</w:t>
      </w:r>
      <w:r>
        <w:t xml:space="preserve"> </w:t>
      </w:r>
      <w:r>
        <w:t xml:space="preserve">(230 packages, dated CRAN</w:t>
      </w:r>
      <w:r>
        <w:t xml:space="preserve"> </w:t>
      </w:r>
      <w:r>
        <w:t xml:space="preserve">snapshot, GitHub packages pinned by commit).</w:t>
      </w:r>
    </w:p>
    <w:bookmarkEnd w:id="22"/>
    <w:bookmarkStart w:id="23" w:name="outstanding-data-request"/>
    <w:p>
      <w:pPr>
        <w:pStyle w:val="Heading2"/>
      </w:pPr>
      <w:r>
        <w:t xml:space="preserve">Outstanding data request</w:t>
      </w:r>
    </w:p>
    <w:p>
      <w:pPr>
        <w:pStyle w:val="FirstParagraph"/>
      </w:pPr>
      <w:r>
        <w:t xml:space="preserve">The one remaining gap is the midwater trawl biological samples, which are</w:t>
      </w:r>
      <w:r>
        <w:t xml:space="preserve"> </w:t>
      </w:r>
      <w:r>
        <w:t xml:space="preserve">commercial rather than survey data and so are not on the open portal. See</w:t>
      </w:r>
      <w:r>
        <w:t xml:space="preserve"> </w:t>
      </w:r>
      <w:r>
        <w:t xml:space="preserve">the accompanying request. Coverage in the copy we hold is 27,933 dogfish</w:t>
      </w:r>
      <w:r>
        <w:t xml:space="preserve"> </w:t>
      </w:r>
      <w:r>
        <w:t xml:space="preserve">specimens with sex and length, sampling description UNSORTED, 1979-2019,</w:t>
      </w:r>
      <w:r>
        <w:t xml:space="preserve"> </w:t>
      </w:r>
      <w:r>
        <w:t xml:space="preserve">across 257 distinct samples, with 18,741 of those specimens in the 1990s.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2026-08-25T18:35:47Z</dcterms:created>
  <dcterms:modified xsi:type="dcterms:W3CDTF">2026-08-25T18:35:47Z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