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pStyle w:val="Title"/>
      </w:pPr>
      <w:r>
        <w:t>Critérios de Seleção de Fundos de Crédito Privado High Grade</w:t>
      </w:r>
    </w:p>
    <w:p>
      <w:pPr>
        <w:jc w:val="both"/>
      </w:pPr>
      <w:r>
        <w:t>Metodologia e resultados para apreciação do Comitê de Investimentos | setembro de 2026</w:t>
      </w:r>
    </w:p>
    <w:p>
      <w:pPr>
        <w:pStyle w:val="Heading1"/>
      </w:pPr>
      <w:r>
        <w:t>1  Síntese e deliberação solicitada</w:t>
      </w:r>
    </w:p>
    <w:p>
      <w:pPr>
        <w:jc w:val="both"/>
      </w:pPr>
      <w:r>
        <w:t>Solicita-se a aprovação da metodologia de triagem e autorização para aprofundar a diligência qualitativa dos fundos priorizados. Esta deliberação não aprova automaticamente nenhum produto para investimento, não define alocação e não dispensa uma proposta específica ao comitê após a análise de carteira, gestora, liquidez, custos efetivos e adequação ao portfólio.</w:t>
      </w:r>
    </w:p>
    <w:p>
      <w:pPr>
        <w:jc w:val="both"/>
      </w:pPr>
      <w:r>
        <w:t>A rodada mais recente contém 53 fundos cadastrados; 47 têm os 36 meses completos e comparáveis exigidos pelo modelo. Entre os elegíveis, 9 obtiveram aprovação quantitativa com margem, 13 ficaram na fronteira, 23 não foram aprovados quantitativamente e 2 tiveram red flag absoluto. Assim, 22 fundos formam a prioridade inicial de diligência. Os resultados refletem dados disponíveis até 21 de setembro de 2026 e janela encerrada em agosto de 2026; não são atributos permanentes dos fundos.</w:t>
      </w:r>
    </w:p>
    <w:p>
      <w:pPr>
        <w:jc w:val="both"/>
      </w:pPr>
      <w:r>
        <w:t>A principal contribuição do método é criar uma linguagem comum para comparar históricos, expor fragilidades e concentrar trabalho analítico onde ele pode mudar a decisão. O ranking é um instrumento de triagem, não uma ordem de compra.</w:t>
      </w:r>
    </w:p>
    <w:p>
      <w:pPr>
        <w:pStyle w:val="Heading1"/>
      </w:pPr>
      <w:r>
        <w:t>2  Problema de investimento e desenho da solução</w:t>
      </w:r>
    </w:p>
    <w:p>
      <w:pPr>
        <w:jc w:val="both"/>
      </w:pPr>
      <w:r>
        <w:t>Fundos líquidos de crédito privado high grade podem mostrar retorno persistentemente próximo ao CDI e baixa volatilidade observada. Isso não basta para distingui-los: perdas tendem a ser assimétricas e concentradas, a marcação dos ativos pode suavizar cotas, custos alteram o retorno do cotista e dois fundos com boas notas podem representar o mesmo risco econômico. Comparar apenas retorno acumulado mistura qualidade, idade da série e condições de mercado distintas.</w:t>
      </w:r>
    </w:p>
    <w:p>
      <w:pPr>
        <w:jc w:val="both"/>
      </w:pPr>
      <w:r>
        <w:t>Por isso a seleção separa quatro perguntas. Primeiro, existe uma série íntegra e comparável? Segundo, qual foi a qualidade individual do resultado líquido sobre o CDI, considerando retorno, consistência, risco e custo observável? Terceiro, o comportamento do candidato se parece com o de algum fundo cadastrado na carteira atual? Quarto, carteira, gestora e condições comerciais sustentam a tese? Só a segunda pergunta produz a nota. A terceira gera um alerta de possível redundância; não mede contribuição marginal ao portfólio. A diligência permanece fora do score.</w:t>
      </w:r>
    </w:p>
    <w:p>
      <w:pPr>
        <w:jc w:val="both"/>
      </w:pPr>
      <w:r>
        <w:t>A análise econômica prospectiva, incluindo carrego, performance, rebate e taxa total para o cliente, foi mantida como uma etapa posterior. É relevante para a decisão, mas depende de premissas e interpretação contratual que não são verificáveis com a mesma uniformidade em todo o universo. Antecipá-la no score criaria uma precisão aparente e poderia comparar suposições, não fundos.</w:t>
      </w:r>
    </w:p>
    <w:p>
      <w:pPr>
        <w:pStyle w:val="Heading1"/>
      </w:pPr>
      <w:r>
        <w:t>3  Base comparável e métricas</w:t>
      </w:r>
    </w:p>
    <w:p>
      <w:pPr>
        <w:jc w:val="both"/>
      </w:pPr>
      <w:r>
        <w:t>O score observa 36 meses completos, encerrados e comuns. Nesta rodada, de setembro de 2023 a agosto de 2026. O CDI define o calendário; um mês só é aceito se a sequência de cotas estiver observada, com a quantidade esperada de datas e intervalos estritamente de um dia útil. Fundos com histórico insuficiente ou lacunas não recebem nota, mas permanecem visíveis no diagnóstico. A regra evita que uma janela mais favorável ou uma cota ausente distorça a comparação.</w:t>
      </w:r>
    </w:p>
    <w:p>
      <w:pPr>
        <w:jc w:val="both"/>
      </w:pPr>
      <w:r>
        <w:t>O CDI é a referência econômica do score: mede o que o cotista recebeu além da alternativa básica de renda fixa no mesmo período. As cotas ajustadas fornecem o retorno líquido observado do fundo. IDA-DI, IDA LIQ-DI e IRF-M 1 ajudam a interpretar estilo e afinidade, mas não substituem o CDI na pontuação. O histórico anterior à janela comum pode enriquecer o diagnóstico, sem contaminar a nota.</w:t>
      </w:r>
    </w:p>
    <w:p>
      <w:pPr>
        <w:pStyle w:val="Heading2"/>
      </w:pPr>
      <w:r>
        <w:t>As decisões sobre dados e referência</w:t>
      </w:r>
    </w:p>
    <w:p>
      <w:pPr>
        <w:jc w:val="both"/>
      </w:pPr>
      <w:r>
        <w:t>O que fizemos: usamos o retorno da cota ajustada, e não uma reconstrução de carrego bruto. Por quê: esse é o resultado histórico efetivamente refletido para o cotista, após os custos que já reduziram o patrimônio do fundo. Repor apenas a taxa de administração produziria uma aproximação pré-taxa, não o retorno bruto econômico verdadeiro, pois outras despesas e eventuais taxas poderiam continuar embutidas. Por isso, não usamos essa reconstrução como base do score.</w:t>
      </w:r>
    </w:p>
    <w:p>
      <w:pPr>
        <w:jc w:val="both"/>
      </w:pPr>
      <w:r>
        <w:t>O que fizemos: fixamos uma janela de 36 meses comuns e completos. Por quê: comparar fundos em períodos diferentes confundiria habilidade com regime de mercado; usar apenas 12 meses tornaria a análise mais sensível ao momento recente, enquanto exigir histórico muito mais longo excluiria parcela maior do universo. O horizonte de 36 meses é uma escolha de equilíbrio entre comparabilidade, observações suficientes e cobertura. Ele não assegura que o próximo ciclo se parecerá com o anterior.</w:t>
      </w:r>
    </w:p>
    <w:p>
      <w:pPr>
        <w:jc w:val="both"/>
      </w:pPr>
      <w:r>
        <w:t>O que fizemos: adotamos o CDI como referência principal e mantivemos os demais índices como diagnóstico. Por quê: o CDI representa a alternativa básica e a linguagem usual de retorno para essa alocação; IDA-DI, IDA LIQ-DI e IRF-M 1 ajudam a explicar a natureza das exposições, mas não são o mesmo objetivo econômico para todos os fundos. Misturá-los na nota poderia premiar ou punir estilo em vez da entrega ao investidor.</w:t>
      </w:r>
    </w:p>
    <w:p>
      <w:pPr/>
      <w:r>
        <w:t>O que fizemos: em cada mês, medimos o excesso relativo como (1 + retorno do fundo)/(1 + retorno do CDI) − 1. Encadeamos os 36 excessos mensais e anualizamos o resultado por (1 + excesso acumulado)^(12/36) − 1. Por quê: essa razão compara a evolução de um mesmo valor aplicado no fundo e no CDI, preservando a capitalização ao longo do período. A diferença simples entre retornos anualizados não é a mesma medida. O resultado expressa desempenho líquido relativo observado; não é o spread de crédito da carteira nem uma projeção de carrego.</w:t>
      </w:r>
    </w:p>
    <w:tbl>
      <w:tblPr>
        <w:tblW w:type="auto" w:w="0"/>
        <w:jc w:val="center"/>
        <w:tblLayout w:type="fixed"/>
        <w:tblLook w:firstColumn="1" w:firstRow="1" w:lastColumn="0" w:lastRow="0" w:noHBand="0" w:noVBand="1" w:val="04A0"/>
      </w:tblPr>
      <w:tblGrid>
        <w:gridCol w:w="3489"/>
        <w:gridCol w:w="3489"/>
        <w:gridCol w:w="3489"/>
      </w:tblGrid>
      <w:tr>
        <w:tc>
          <w:tcPr>
            <w:tcW w:type="dxa" w:w="1584"/>
            <w:vAlign w:val="center"/>
            <w:shd w:fill="EDEDE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sz w:val="18"/>
              </w:rPr>
              <w:t>Pilar e peso</w:t>
            </w:r>
          </w:p>
        </w:tc>
        <w:tc>
          <w:tcPr>
            <w:tcW w:type="dxa" w:w="3240"/>
            <w:vAlign w:val="center"/>
            <w:shd w:fill="EDEDE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sz w:val="18"/>
              </w:rPr>
              <w:t>O que responde</w:t>
            </w:r>
          </w:p>
        </w:tc>
        <w:tc>
          <w:tcPr>
            <w:tcW w:type="dxa" w:w="5544"/>
            <w:vAlign w:val="center"/>
            <w:shd w:fill="EDEDE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sz w:val="18"/>
              </w:rPr>
              <w:t>Métricas e composição</w:t>
            </w:r>
          </w:p>
        </w:tc>
      </w:tr>
      <w:tr>
        <w:tc>
          <w:tcPr>
            <w:tcW w:type="dxa" w:w="158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sz w:val="18"/>
              </w:rPr>
              <w:t>Retorno 30%</w:t>
            </w:r>
          </w:p>
        </w:tc>
        <w:tc>
          <w:tcPr>
            <w:tcW w:type="dxa" w:w="324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sz w:val="18"/>
              </w:rPr>
              <w:t>Houve geração líquida de valor sobre CDI?</w:t>
            </w:r>
          </w:p>
        </w:tc>
        <w:tc>
          <w:tcPr>
            <w:tcW w:type="dxa" w:w="554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sz w:val="18"/>
              </w:rPr>
              <w:t>Excesso anualizado sobre CDI.</w:t>
            </w:r>
          </w:p>
        </w:tc>
      </w:tr>
      <w:tr>
        <w:tc>
          <w:tcPr>
            <w:tcW w:type="dxa" w:w="1584"/>
            <w:vAlign w:val="center"/>
            <w:shd w:fill="F8F8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sz w:val="18"/>
              </w:rPr>
              <w:t>Consistência 25%</w:t>
            </w:r>
          </w:p>
        </w:tc>
        <w:tc>
          <w:tcPr>
            <w:tcW w:type="dxa" w:w="3240"/>
            <w:vAlign w:val="center"/>
            <w:shd w:fill="F8F8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sz w:val="18"/>
              </w:rPr>
              <w:t>A geração foi recorrente ou episódica?</w:t>
            </w:r>
          </w:p>
        </w:tc>
        <w:tc>
          <w:tcPr>
            <w:tcW w:type="dxa" w:w="5544"/>
            <w:vAlign w:val="center"/>
            <w:shd w:fill="F8F8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sz w:val="18"/>
              </w:rPr>
              <w:t>Hit rate mensal 40%; janelas de 6 meses 20%; janelas de 12 meses 40%.</w:t>
            </w:r>
          </w:p>
        </w:tc>
      </w:tr>
      <w:tr>
        <w:tc>
          <w:tcPr>
            <w:tcW w:type="dxa" w:w="158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sz w:val="18"/>
              </w:rPr>
              <w:t>Risco 20%</w:t>
            </w:r>
          </w:p>
        </w:tc>
        <w:tc>
          <w:tcPr>
            <w:tcW w:type="dxa" w:w="324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sz w:val="18"/>
              </w:rPr>
              <w:t>Qual foi o custo das perdas relativas?</w:t>
            </w:r>
          </w:p>
        </w:tc>
        <w:tc>
          <w:tcPr>
            <w:tcW w:type="dxa" w:w="554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sz w:val="18"/>
              </w:rPr>
              <w:t>Drawdown máximo do excesso 40%; média dos 3 piores meses 30%; volatilidade do excesso 30%.</w:t>
            </w:r>
          </w:p>
        </w:tc>
      </w:tr>
      <w:tr>
        <w:tc>
          <w:tcPr>
            <w:tcW w:type="dxa" w:w="1584"/>
            <w:vAlign w:val="center"/>
            <w:shd w:fill="F8F8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sz w:val="18"/>
              </w:rPr>
              <w:t>Custo 25%</w:t>
            </w:r>
          </w:p>
        </w:tc>
        <w:tc>
          <w:tcPr>
            <w:tcW w:type="dxa" w:w="3240"/>
            <w:vAlign w:val="center"/>
            <w:shd w:fill="F8F8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sz w:val="18"/>
              </w:rPr>
              <w:t>Quanto custa o resultado observado?</w:t>
            </w:r>
          </w:p>
        </w:tc>
        <w:tc>
          <w:tcPr>
            <w:tcW w:type="dxa" w:w="5544"/>
            <w:vAlign w:val="center"/>
            <w:shd w:fill="F8F8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sz w:val="18"/>
              </w:rPr>
              <w:t>Taxa de administração 60%; excesso líquido dividido pela taxa 40%.</w:t>
            </w:r>
          </w:p>
        </w:tc>
      </w:tr>
    </w:tbl>
    <w:p>
      <w:pPr>
        <w:jc w:val="both"/>
      </w:pPr>
      <w:r/>
    </w:p>
    <w:p>
      <w:pPr>
        <w:jc w:val="both"/>
      </w:pPr>
      <w:r>
        <w:t>A inclusão de retorno e custo em blocos separados foi intencional: o cotista avalia o que recebeu, mas também precisa saber quanta eficiência econômica foi obtida para a taxa cobrada. Há, contudo, sobreposição entre excesso líquido e a razão excesso/taxa. A correlação das respectivas notas nesta rodada é 0,75; por isso o bloco de custo deve ser lido como dimensão parcialmente dependente, não como informação inteiramente nova. A métrica tampouco substitui custo all-in ou rentabilidade prospectiva.</w:t>
      </w:r>
    </w:p>
    <w:p>
      <w:pPr>
        <w:pStyle w:val="Heading2"/>
      </w:pPr>
      <w:r>
        <w:t>Por que estes quatro pilares</w:t>
      </w:r>
    </w:p>
    <w:p>
      <w:pPr>
        <w:jc w:val="both"/>
      </w:pPr>
      <w:r>
        <w:t>Retorno. O que fizemos: medimos o excesso anualizado da cota sobre o CDI. Por quê: o prêmio líquido é a primeira evidência de valor para o cotista. Não bastaria, porém, ordenar fundos por esse número: um único intervalo favorável poderia esconder uma trajetória irregular ou riscos assumidos para obtê-lo.</w:t>
      </w:r>
    </w:p>
    <w:p>
      <w:pPr>
        <w:jc w:val="both"/>
      </w:pPr>
      <w:r>
        <w:t>Consistência. O que fizemos: combinamos a proporção de meses acima do CDI com a de janelas móveis de seis e doze meses acima do CDI. Por quê: os três horizontes distinguem frequência de pequenas entregas, persistência intermediária e experiência de um investidor que permanece por um ano. O horizonte mensal, sozinho, premiaria ganhos pequenos e frequentes mesmo que perdas raras anulassem o resultado. Janelas longas, sozinhas, esconderiam o caminho até o resultado. Os pesos internos 40/20/40 são uma escolha de desenho, não uma estimativa ótima.</w:t>
      </w:r>
    </w:p>
    <w:p>
      <w:pPr>
        <w:jc w:val="both"/>
      </w:pPr>
      <w:r>
        <w:t>Risco. O que fizemos: combinamos drawdown do excesso acumulado, média dos três piores meses relativos e volatilidade do excesso. Por quê: a volatilidade de cotas high grade pode ser baixa por natureza do carrego ou por suavização de preços e, isoladamente, não descreve bem perdas concentradas. Drawdown captura profundidade da perda acumulada contra o CDI; os três piores meses capturam cauda observada sem depender de um único ponto; volatilidade registra instabilidade ordinária. O maior peso interno do drawdown (40%) enfatiza a experiência de recuperação do investidor, sem tratar essas métricas como riscos de crédito completos.</w:t>
      </w:r>
    </w:p>
    <w:p>
      <w:pPr>
        <w:jc w:val="both"/>
      </w:pPr>
      <w:r>
        <w:t>Custo. O que fizemos: pontuamos a taxa de administração conhecida e a razão entre excesso líquido e essa taxa. Por quê: em uma classe de prêmios esperados modestos, custo recorrente pode consumir parte relevante do valor gerado, e taxa baixa só é atraente se vier acompanhada de resultado. A combinação evita ordenar exclusivamente por taxa. Ela permanece incompleta: performance, rebate, taxa da casa, termos contratuais e carrego futuro não são uniformemente observáveis nessa etapa. A razão excesso/taxa também reutiliza retorno; por isso não a interpretamos como evidência independente.</w:t>
      </w:r>
    </w:p>
    <w:p>
      <w:pPr>
        <w:pStyle w:val="Heading1"/>
      </w:pPr>
      <w:r>
        <w:t>4  Por que mediana, MAD e z-score robusto</w:t>
      </w:r>
    </w:p>
    <w:p>
      <w:pPr>
        <w:jc w:val="both"/>
      </w:pPr>
      <w:r>
        <w:t>As métricas têm unidades diferentes: pontos percentuais de excesso, frequência de meses acima do CDI, drawdown e taxa. Somá-las diretamente seria arbitrário. Também não seria adequado usar apenas posições no ranking: dois fundos quase idênticos receberiam posições diferentes, enquanto uma diferença econômica grande poderia valer apenas uma posição. A solução adotada preserva a distância entre fundos e coloca cada métrica na escala comum de 0 a 100.</w:t>
      </w:r>
    </w:p>
    <w:p>
      <w:pPr>
        <w:jc w:val="both"/>
      </w:pPr>
      <w:r>
        <w:t>O primeiro passo é localizar o fundo em relação ao centro da amostra elegível, medido pela mediana. O segundo é dividir essa distância por uma escala robusta, o desvio absoluto mediano ou MAD. Mediana e MAD foram escolhidos porque um número pequeno de observações extremas não desloca o centro e a escala tanto quanto média e desvio-padrão. Essa proteção é pertinente em um universo relativamente pequeno e heterogêneo, com possíveis caudas de eventos de crédito e taxas muito distintas. O fator 1,4826 apenas coloca o MAD em escala comparável à do desvio-padrão sob distribuição aproximadamente normal; não pressupõe que os dados sejam normais.</w:t>
      </w:r>
    </w:p>
    <w:p>
      <w:pPr>
        <w:jc w:val="both"/>
      </w:pPr>
      <w:r>
        <w:t>O z-score assim obtido não é teste de significância nem probabilidade de desempenho futuro. Ele mede distância relativa ao centro da amostra da rodada. O sinal é invertido para métricas em que menor é melhor, como taxa, drawdown em magnitude de perda e volatilidade. Valores de z são limitados a −4 e +4 para impedir que um extremo domine a escala. Em seguida, uma função logística monotônica converte o resultado em nota: a mediana vale 50; resultados acima e abaixo recebem notas progressivamente maiores ou menores sem cortes bruscos.</w:t>
      </w:r>
    </w:p>
    <w:p>
      <w:pPr>
        <w:jc w:val="both"/>
      </w:pPr>
      <w:r>
        <w:t>A cadeia de escolha foi, portanto: métricas economicamente interpretáveis; janela igual para todos; normalização que resiste a extremos; escala contínua comparável; e só depois pesos e uma régua de decisão. Esse desenho melhora a disciplina comparativa, mas não elimina o caráter relativo do score. Entrada ou saída de um fundo, revisão de cota ou mudança de regime podem alterar as notas de todos, mesmo sem mudança no produto individual. Quando o MAD é zero, o cálculo recorre ao intervalo interquartil, depois ao desvio-padrão; se não houver diferenciação possível, atribui nota neutra 50.</w:t>
      </w:r>
    </w:p>
    <w:p>
      <w:pPr>
        <w:pStyle w:val="Heading1"/>
      </w:pPr>
      <w:r>
        <w:t>5  Pesos e régua de decisão</w:t>
      </w:r>
    </w:p>
    <w:p>
      <w:pPr>
        <w:jc w:val="both"/>
      </w:pPr>
      <w:r>
        <w:t>Os pesos 30/25/20/25 exprimem uma preferência de investimento, não uma estimação estatística de “peso ótimo”. Retorno recebe a maior parcela porque superar o CDI é a finalidade econômica do mandato. Consistência tem peso próximo porque o processo busca recorrência, e não um único episódio favorável. Risco recebe 20% para registrar perdas relativas e dispersão sem permitir que baixa volatilidade observada seja confundida com ausência de risco de crédito. Custo recebe 25% porque pequenas taxas consomem parcela material do prêmio esperado em high grade. A manutenção desses pesos deve ser testada por sensibilidade, não ajustada após ver nomes específicos no ranking.</w:t>
      </w:r>
    </w:p>
    <w:p>
      <w:pPr>
        <w:jc w:val="both"/>
      </w:pPr>
      <w:r>
        <w:t>O que fizemos: primeiro transformamos cada métrica em nota comparável; depois combinamos métricas dentro de cada pilar; só então aplicamos os pesos entre pilares. Por quê: essa ordem evita somar unidades incompatíveis e permite ver se uma nota final elevada resulta de desempenho equilibrado ou da compensação de um pilar fraco por outro forte. A nota de pilar é tão importante para a leitura quanto o score final.</w:t>
      </w:r>
    </w:p>
    <w:p>
      <w:pPr>
        <w:jc w:val="both"/>
      </w:pPr>
      <w:r>
        <w:t>O que não fizemos: não estimamos pesos por regressão contra retornos futuros, não calibramos a régua para produzir um número predeterminado de aprovados e não incluímos correlação no score. Não havia uma variável-alvo futura confiável para otimizar pesos sem risco de ajuste à própria amostra. A finalidade é uma triagem disciplinada e explicável, sujeita a revisão; não um modelo preditivo de probabilidade de sucesso.</w:t>
      </w:r>
    </w:p>
    <w:p>
      <w:pPr>
        <w:jc w:val="both"/>
      </w:pPr>
      <w:r>
        <w:t>A régua combina nota final e salvaguardas. O corte central de 55 é acompanhado por uma fronteira de ±3 pontos para reduzir falsa precisão: diferenças pequenas perto do corte não devem produzir decisões binárias definitivas. A aprovação quantitativa com margem exige nota não arredondada de pelo menos 58, ausência de red flag absoluto e todos os pilares em pelo menos 30. Entre 52 e menos de 58, ou acima disso com algum pilar abaixo de 30, o fundo fica na zona cinzenta. Abaixo de 52, sem red flag, não há aprovação quantitativa.</w:t>
      </w:r>
    </w:p>
    <w:p>
      <w:pPr>
        <w:jc w:val="both"/>
      </w:pPr>
      <w:r>
        <w:t>Excesso anualizado líquido sobre CDI não positivo é red flag absoluto. A razão é econômica: na janela comum, não se demonstrou remuneração acima da referência central do mandato. Drawdown e cauda entre os 10% piores do universo são alertas relativos, não vetos: sinalizam exatamente onde pedir explicações à gestora. Quartis são descritivos. Não há quota de aprovados, limite automático por cluster ou promoção por posição relativa.</w:t>
      </w:r>
    </w:p>
    <w:tbl>
      <w:tblPr>
        <w:tblW w:type="auto" w:w="0"/>
        <w:jc w:val="center"/>
        <w:tblLayout w:type="fixed"/>
        <w:tblLook w:firstColumn="1" w:firstRow="1" w:lastColumn="0" w:lastRow="0" w:noHBand="0" w:noVBand="1" w:val="04A0"/>
      </w:tblPr>
      <w:tblGrid>
        <w:gridCol w:w="3489"/>
        <w:gridCol w:w="3489"/>
        <w:gridCol w:w="3489"/>
      </w:tblGrid>
      <w:tr>
        <w:tc>
          <w:tcPr>
            <w:tcW w:type="dxa" w:w="2232"/>
            <w:vAlign w:val="center"/>
            <w:shd w:fill="EDEDE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sz w:val="18"/>
              </w:rPr>
              <w:t>Status quantitativo</w:t>
            </w:r>
          </w:p>
        </w:tc>
        <w:tc>
          <w:tcPr>
            <w:tcW w:type="dxa" w:w="4032"/>
            <w:vAlign w:val="center"/>
            <w:shd w:fill="EDEDE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sz w:val="18"/>
              </w:rPr>
              <w:t>Regra</w:t>
            </w:r>
          </w:p>
        </w:tc>
        <w:tc>
          <w:tcPr>
            <w:tcW w:type="dxa" w:w="4104"/>
            <w:vAlign w:val="center"/>
            <w:shd w:fill="EDEDE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b/>
                <w:sz w:val="18"/>
              </w:rPr>
              <w:t>Uso na decisão</w:t>
            </w:r>
          </w:p>
        </w:tc>
      </w:tr>
      <w:tr>
        <w:tc>
          <w:tcPr>
            <w:tcW w:type="dxa" w:w="223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sz w:val="18"/>
              </w:rPr>
              <w:t>Aprovado com margem</w:t>
            </w:r>
          </w:p>
        </w:tc>
        <w:tc>
          <w:tcPr>
            <w:tcW w:type="dxa" w:w="403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sz w:val="18"/>
              </w:rPr>
              <w:t>Nota ≥ 58; sem red flag; todos os pilares ≥ 30.</w:t>
            </w:r>
          </w:p>
        </w:tc>
        <w:tc>
          <w:tcPr>
            <w:tcW w:type="dxa" w:w="410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sz w:val="18"/>
              </w:rPr>
              <w:t>Prioridade de diligência, não autorização de investimento.</w:t>
            </w:r>
          </w:p>
        </w:tc>
      </w:tr>
      <w:tr>
        <w:tc>
          <w:tcPr>
            <w:tcW w:type="dxa" w:w="2232"/>
            <w:vAlign w:val="center"/>
            <w:shd w:fill="F8F8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sz w:val="18"/>
              </w:rPr>
              <w:t>Fronteira</w:t>
            </w:r>
          </w:p>
        </w:tc>
        <w:tc>
          <w:tcPr>
            <w:tcW w:type="dxa" w:w="4032"/>
            <w:vAlign w:val="center"/>
            <w:shd w:fill="F8F8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sz w:val="18"/>
              </w:rPr>
              <w:t>52 ≤ nota &lt; 58; ou nota ≥ 58 com pilar &lt; 30; sem red flag.</w:t>
            </w:r>
          </w:p>
        </w:tc>
        <w:tc>
          <w:tcPr>
            <w:tcW w:type="dxa" w:w="4104"/>
            <w:vAlign w:val="center"/>
            <w:shd w:fill="F8F8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sz w:val="18"/>
              </w:rPr>
              <w:t>Investigar o motivo da dúvida e a robustez do caso.</w:t>
            </w:r>
          </w:p>
        </w:tc>
      </w:tr>
      <w:tr>
        <w:tc>
          <w:tcPr>
            <w:tcW w:type="dxa" w:w="223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sz w:val="18"/>
              </w:rPr>
              <w:t>Não aprovado</w:t>
            </w:r>
          </w:p>
        </w:tc>
        <w:tc>
          <w:tcPr>
            <w:tcW w:type="dxa" w:w="403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sz w:val="18"/>
              </w:rPr>
              <w:t>Nota &lt; 52, sem red flag.</w:t>
            </w:r>
          </w:p>
        </w:tc>
        <w:tc>
          <w:tcPr>
            <w:tcW w:type="dxa" w:w="410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sz w:val="18"/>
              </w:rPr>
              <w:t>Não priorizar na trilha padrão; exceção requer justificativa.</w:t>
            </w:r>
          </w:p>
        </w:tc>
      </w:tr>
      <w:tr>
        <w:tc>
          <w:tcPr>
            <w:tcW w:type="dxa" w:w="2232"/>
            <w:vAlign w:val="center"/>
            <w:shd w:fill="F8F8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sz w:val="18"/>
              </w:rPr>
              <w:t>Red flag absoluto</w:t>
            </w:r>
          </w:p>
        </w:tc>
        <w:tc>
          <w:tcPr>
            <w:tcW w:type="dxa" w:w="4032"/>
            <w:vAlign w:val="center"/>
            <w:shd w:fill="F8F8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sz w:val="18"/>
              </w:rPr>
              <w:t>Excesso anualizado sobre CDI ≤ 0.</w:t>
            </w:r>
          </w:p>
        </w:tc>
        <w:tc>
          <w:tcPr>
            <w:tcW w:type="dxa" w:w="4104"/>
            <w:vAlign w:val="center"/>
            <w:shd w:fill="F8F8F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0"/>
            </w:pPr>
            <w:r>
              <w:rPr>
                <w:sz w:val="18"/>
              </w:rPr>
              <w:t>Sem aprovação quantitativa, independentemente da nota.</w:t>
            </w:r>
          </w:p>
        </w:tc>
      </w:tr>
    </w:tbl>
    <w:p>
      <w:pPr>
        <w:jc w:val="both"/>
      </w:pPr>
      <w:r/>
    </w:p>
    <w:p>
      <w:pPr>
        <w:pStyle w:val="Heading1"/>
      </w:pPr>
      <w:r>
        <w:t>6  Resultados da rodada</w:t>
      </w:r>
    </w:p>
    <w:p>
      <w:pPr>
        <w:jc w:val="both"/>
      </w:pPr>
      <w:r>
        <w:t>A conciliação identificou os 53 fundos cadastrados. Seis ficaram fora do score por não satisfazerem a janela comum completa; isso é inelegibilidade metodológica, não reprovação qualitativa. Entre os 47 elegíveis, a distribuição foi 9 aprovados com margem, 13 na fronteira, 23 não aprovados e 2 com red flag absoluto. A lista de 22 nomes para diligência é uma fila de trabalho; a informação qualitativa ainda não foi registrada como conclusão final.</w:t>
      </w:r>
    </w:p>
    <w:p>
      <w:pPr>
        <w:jc w:val="both"/>
      </w:pPr>
      <w:r>
        <w:t>Aprovados com margem: Tivio Institucional 15; Daycoval Classic 30; BNP Paribas Rubi; SulAmérica Crédito ESG; Compass Yield 30; SulAmérica Crédito Ativo; BTG Pactual Crédito Corporativo I; Bocom BBM Corporate Credit II; e Porto Seguro Ipê.</w:t>
      </w:r>
    </w:p>
    <w:p>
      <w:pPr>
        <w:jc w:val="both"/>
      </w:pPr>
      <w:r>
        <w:t>Na fronteira: JGP Corporate FEEDER II; Sparta Max Advisory; Polo Crédito Corporativo Advisory; Occam Crédito Corporativo 30; Sparta Top; JGP Crédito Advisory; Root Capital Crédito HG Plus; Novus Crédito; Selection Light; BNP Paribas Match Plus 30 Advisory; BOCOM BBM Corporate Credit Plus MULT; Safra Grand Vitesse; e Vinland Crédito. Para cada caso, a ficha deve registrar se a causa é proximidade do corte, pilar abaixo de 30 ou ambos.</w:t>
      </w:r>
    </w:p>
    <w:p>
      <w:pPr>
        <w:jc w:val="both"/>
      </w:pPr>
      <w:r>
        <w:t>Dois avisos de qualidade de dados acompanham a leitura: houve uma lacuna entre cotas de até cinco dias úteis e 17 séries defasadas, incluindo uma encerrada em maio de 2026. Esses avisos não alteram automaticamente a classificação, mas precisam ser conciliados antes de usar históricos integrais ou inferir situação atual de cada produto. A análise em 36 meses encerra-se em agosto de 2026.</w:t>
      </w:r>
    </w:p>
    <w:p>
      <w:pPr>
        <w:pStyle w:val="Heading1"/>
      </w:pPr>
      <w:r>
        <w:t>7  Diagnóstico de redundância com a carteira cadastrada</w:t>
      </w:r>
    </w:p>
    <w:p>
      <w:pPr>
        <w:jc w:val="both"/>
      </w:pPr>
      <w:r>
        <w:t>O modelo lê os nomes dos fundos cadastrados como carteira atual e calcula a correlação entre seus excessos mensais sobre o CDI e os dos candidatos. Para cada candidato, mostra a posição cadastrada com maior correlação e o nível de atenção correspondente. Isso é um diagnóstico de semelhança de comportamento, não uma análise do portfólio agregado. Uma correlação alta não prova igualdade de carteira ou emissor; uma correlação moderada tampouco garante diversificação em estresse. As faixas de atenção são 0,80, elevada 0,85 e muito elevada 0,90. Elas não alteram o score nem vetam automaticamente um fundo.</w:t>
      </w:r>
    </w:p>
    <w:p>
      <w:pPr>
        <w:jc w:val="both"/>
      </w:pPr>
      <w:r>
        <w:t>O arquivo da carteira contém nove nomes. Entre os pares sinalizados na rodada estão Sparta Max Advisory e Sparta Top (correlação de 0,97) e BNP Paribas Match Plus 30 Advisory e BNP Paribas Rubi (0,98). Esses números motivam perguntas sobre emissores, setores, duration e resposta a abertura de spreads; não demonstram que os fundos tenham as mesmas posições. O arquivo não informa pesos de alocação, e o modelo não calcula retorno ou risco marginal da inclusão de um candidato, concentração agregada ou sobreposição efetiva de ativos. Os nomes cadastrados devem ser confirmados como carteira vigente antes de usar o diagnóstico em decisão de alocação. Clusters e testes de estabilidade são descritivos, sem limite automático de fundos por grupo.</w:t>
      </w:r>
    </w:p>
    <w:p>
      <w:pPr>
        <w:pStyle w:val="Heading1"/>
      </w:pPr>
      <w:r>
        <w:t>8  Diligência qualitativa e governança</w:t>
      </w:r>
    </w:p>
    <w:p>
      <w:pPr>
        <w:jc w:val="both"/>
      </w:pPr>
      <w:r>
        <w:t>A diligência deve ser guiada pelos pontos que a triagem não observa ou que seus alertas tornam materiais. Em crédito e carteira: emissores e grupos econômicos, ratings internos e externos, setores, garantias, eventos, concentração e perdas. Em construção e liquidez: duration, marcação, passivo, caixa, capacidade, derivativos e resgates sob estresse. Na gestora: equipe, alçadas, originação, monitoramento, conflitos e controles. Em economia e comparação com posições atuais: taxa efetiva, performance, rebate, condições da classe, carrego verificável e confirmação de possíveis sobreposições levantadas pela correlação. O benefício para o portfólio ainda precisará ser avaliado antes de uma proposta de investimento.</w:t>
      </w:r>
    </w:p>
    <w:p>
      <w:pPr>
        <w:jc w:val="both"/>
      </w:pPr>
      <w:r>
        <w:t>Cada ficha deve confrontar números e narrativa da gestora, explicar drawdowns e períodos abaixo do CDI, datar a evidência e registrar pendências. Quatro conclusões são possíveis: aprovado qualitativamente; aprovado com limite ou condição; pendente de informações; e reprovado qualitativamente. Condições precisam de limite, gatilho observável, prazo e responsável. A ausência de dado material não se converte em aprovação tácita.</w:t>
      </w:r>
    </w:p>
    <w:p>
      <w:pPr>
        <w:jc w:val="both"/>
      </w:pPr>
      <w:r>
        <w:t>Cabe ao comitê aprovar a metodologia e autorizar esta diligência. Propostas de investimento deverão retornar com uma tese individual, comparação com alternativas e carteira existente, custos efetivos, riscos residuais, tamanho sugerido e justificativa de eventual exceção à régua. Mudanças de pesos, limiares ou métricas exigem versão, motivo e comparação de sensibilidade; não se ajusta o modelo para favorecer um fundo já conhecido.</w:t>
      </w:r>
    </w:p>
    <w:p>
      <w:pPr>
        <w:pStyle w:val="Heading1"/>
      </w:pPr>
      <w:r>
        <w:t>9  Limitações e próximos passos</w:t>
      </w:r>
    </w:p>
    <w:p>
      <w:pPr>
        <w:jc w:val="both"/>
      </w:pPr>
      <w:r>
        <w:t>A evidência é histórica e relativa ao universo. Cotas podem suavizar risco, correlações mudam, eventos extremos são pouco frequentes e fundos sobreviventes podem enviesar a amostra. Os 36 meses comuns aumentam comparabilidade, mas excluem fundos novos e não equivalem a uma previsão. A camada de custo mede apenas taxa de administração e eficiência histórica; não calcula economics completo do cliente. Assimetria, curtose e densidade dos excessos, assim como o histórico completo, enriquecem a leitura de caudas, sem se tornarem critérios adicionais ou pesos ocultos.</w:t>
      </w:r>
    </w:p>
    <w:p>
      <w:pPr>
        <w:jc w:val="both"/>
      </w:pPr>
      <w:r>
        <w:t>Próximos passos: validar os avisos de dados e confirmar se os nove nomes cadastrados correspondem à carteira vigente; abrir fichas para os 22 priorizados; obter carteiras, contratos e dados de liquidez; verificar as possíveis redundâncias sinalizadas; realizar a análise econômica prospectiva com premissas verificadas; e devolver ao comitê propostas individuais documentadas. A simulação de impacto de cada candidato no portfólio agregado ainda não faz parte desta entrega. Produtos fora da janela comum podem seguir trilha excepcional, com evidência alternativa e limitação explícitas.</w:t>
      </w:r>
    </w:p>
    <w:p>
      <w:pPr>
        <w:pStyle w:val="Heading1"/>
      </w:pPr>
      <w:r>
        <w:t>Anexo A  Fórmulas e parâmetros</w:t>
      </w:r>
    </w:p>
    <w:p>
      <w:pPr>
        <w:jc w:val="both"/>
      </w:pPr>
      <w:r>
        <w:t>Retorno diário simples: rₜ = Cₜ/Cₜ₋₁ − 1. Excesso diário: eₜ = rₜ,fundo − rₜ,CDI. O retorno composto é o produto de (1 + r) menos 1. Para n meses, a anualização do retorno acumulado usa (1 + R)^(12/n) − 1. O drawdown do excesso é a queda máxima do índice acumulado de excesso em relação ao máximo anterior; volatilidade mensal anualizada usa desvio-padrão vezes √12.</w:t>
      </w:r>
    </w:p>
    <w:p>
      <w:pPr/>
      <w:r>
        <w:t>Excesso sobre o CDI usado no score: para cada mês m, e_m = (1 + R_fundo,m)/(1 + R_CDI,m) − 1; nos 36 meses comuns, excesso_cdi_aa = [∏(1 + e_m)]^(12/36) − 1. Equivalentemente, excesso_cdi_aa = [(1 + R_fundo,36m)/(1 + R_CDI,36m)]^(1/3) − 1. O excesso diário por subtração, apresentado acima, serve aos diagnósticos diários e não substitui esta composição mensal. Nas fichas individuais, a mesma fórmula é repetida em janelas móveis de 36 meses completos e consecutivos para diagnóstico; somente a janela comum entra no score.</w:t>
      </w:r>
    </w:p>
    <w:p>
      <w:pPr>
        <w:jc w:val="both"/>
      </w:pPr>
      <w:r>
        <w:t>Escala robusta: m = mediana(x); MAD = mediana(|x − m|); s = 1,4826 × MAD. Para métricas em que maior é melhor, z = (x − m)/s; para menor é melhor, z = −(x − m)/s. O z é truncado em [−4, 4] e a nota = 100/[1 + exp(−z)]. Se s = 0, usar IQR/1,349 e depois desvio-padrão; sem dispersão diferenciável, nota = 50. A nota 50 significa centro da amostra, não “qualidade mínima”.</w:t>
      </w:r>
    </w:p>
    <w:p>
      <w:pPr>
        <w:jc w:val="both"/>
      </w:pPr>
      <w:r>
        <w:t>Pilares: consistência = 0,40 mensal + 0,20 hit 6 meses + 0,40 hit 12 meses; risco = 0,40 drawdown + 0,30 cauda + 0,30 volatilidade; custo = 0,60 taxa + 0,40 razão excesso/taxa. Score final = 0,30 retorno + 0,25 consistência + 0,20 risco + 0,25 custo. Os insumos de cada componente são primeiro convertidos em notas robustas de 0 a 100.</w:t>
      </w:r>
    </w:p>
    <w:p>
      <w:pPr>
        <w:jc w:val="both"/>
      </w:pPr>
      <w:r>
        <w:t>Parâmetros: 36 meses completos; corte central 55; fronteira 52 a menos de 58; piso 30 em cada pilar; red flag absoluto quando excesso anualizado sobre CDI ≤ 0; alertas relativos para os 10% piores de drawdown e cauda; correlação em 0,80, 0,85 e 0,90 como diagnóstico. Os parâmetros são escolhas de governança e devem ser reavaliados com sensibilidade, não tratados como constantes naturais.</w:t>
      </w:r>
    </w:p>
    <w:p>
      <w:pPr>
        <w:pStyle w:val="Heading1"/>
      </w:pPr>
      <w:r>
        <w:t>Anexo B  Leitura estatística e rastreabilidade</w:t>
      </w:r>
    </w:p>
    <w:p>
      <w:pPr>
        <w:jc w:val="both"/>
      </w:pPr>
      <w:r>
        <w:t>A mediana e o MAD reduzem a influência de extremos sobre a normalização, mas não tornam a amostra representativa do futuro. A função logística é apenas uma transformação monotônica: preserva a ordem da métrica antes de combinar pilares e comprime caudas. As notas não são probabilidades de sucesso, perdas esperadas nem certificações de segurança. Pequenas diferenças próximas aos limiares justificam a fronteira e análise qualitativa.</w:t>
      </w:r>
    </w:p>
    <w:p>
      <w:pPr>
        <w:jc w:val="both"/>
      </w:pPr>
      <w:r>
        <w:t>O resultado de setembro de 2026 deve ser lido junto à data de corte, janela, composição do universo, métricas brutas, notas de pilar, flags e versão dos parâmetros. A análise de sensibilidade deve mostrar se conclusões materiais persistem sob variações razoáveis de pesos e fronteiras. Mudança de classificação entre rodadas deve ser decomposta em dados, universo, parâmetros e comportamento efetivo do fundo.</w:t>
      </w:r>
    </w:p>
    <w:sectPr w:rsidR="00B45136" w:rsidRPr="00015EC6" w:rsidSect="00DD053C">
      <w:headerReference w:type="default" r:id="rId1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FBC96F" w14:textId="77777777" w:rsidR="00AC1648" w:rsidRDefault="00AC1648" w:rsidP="00265249">
      <w:pPr>
        <w:spacing w:after="0" w:line="240" w:lineRule="auto"/>
      </w:pPr>
      <w:r>
        <w:separator/>
      </w:r>
    </w:p>
  </w:endnote>
  <w:endnote w:type="continuationSeparator" w:id="0">
    <w:p w14:paraId="6C7068B0" w14:textId="77777777" w:rsidR="00AC1648" w:rsidRDefault="00AC1648" w:rsidP="00265249">
      <w:pPr>
        <w:spacing w:after="0" w:line="240" w:lineRule="auto"/>
      </w:pPr>
      <w:r>
        <w:continuationSeparator/>
      </w:r>
    </w:p>
  </w:endnote>
  <w:endnote w:type="continuationNotice" w:id="1">
    <w:p w14:paraId="0645A5E3" w14:textId="77777777" w:rsidR="00AC1648" w:rsidRDefault="00AC164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1C3469" w14:textId="77777777" w:rsidR="00AC1648" w:rsidRDefault="00AC1648" w:rsidP="00265249">
      <w:pPr>
        <w:spacing w:after="0" w:line="240" w:lineRule="auto"/>
      </w:pPr>
      <w:r>
        <w:separator/>
      </w:r>
    </w:p>
  </w:footnote>
  <w:footnote w:type="continuationSeparator" w:id="0">
    <w:p w14:paraId="2764F8FB" w14:textId="77777777" w:rsidR="00AC1648" w:rsidRDefault="00AC1648" w:rsidP="00265249">
      <w:pPr>
        <w:spacing w:after="0" w:line="240" w:lineRule="auto"/>
      </w:pPr>
      <w:r>
        <w:continuationSeparator/>
      </w:r>
    </w:p>
  </w:footnote>
  <w:footnote w:type="continuationNotice" w:id="1">
    <w:p w14:paraId="7804B209" w14:textId="77777777" w:rsidR="00AC1648" w:rsidRDefault="00AC1648">
      <w:pPr>
        <w:spacing w:after="0" w:line="240" w:lineRule="auto"/>
      </w:pPr>
    </w:p>
  </w:footnote>
  <w:footnote w:id="2">
    <w:p w14:paraId="7ED9FCC2" w14:textId="33842074" w:rsidR="000D2E70" w:rsidRPr="00197B2A" w:rsidRDefault="000D2E70" w:rsidP="000D2E70">
      <w:pPr>
        <w:pStyle w:val="Footer"/>
        <w:rPr>
          <w:lang w:val="en-US"/>
        </w:rPr>
      </w:pPr>
      <w:r>
        <w:rPr>
          <w:rStyle w:val="FootnoteReference"/>
        </w:rPr>
        <w:footnoteRef/>
      </w:r>
      <w:r w:rsidRPr="00197B2A">
        <w:rPr>
          <w:lang w:val="en-US"/>
        </w:rPr>
        <w:t xml:space="preserve"> </w:t>
      </w:r>
      <w:hyperlink r:id="rId1" w:history="1">
        <w:r w:rsidRPr="00197B2A">
          <w:rPr>
            <w:rStyle w:val="Hyperlink"/>
            <w:lang w:val="en-US"/>
          </w:rPr>
          <w:t>What Are Hedge Funds? (investopedia.com)</w:t>
        </w:r>
      </w:hyperlink>
    </w:p>
  </w:footnote>
  <w:footnote w:id="3">
    <w:p w14:paraId="678402F0" w14:textId="6E500E18" w:rsidR="00EC25C5" w:rsidRDefault="00EC25C5">
      <w:pPr>
        <w:pStyle w:val="FootnoteText"/>
      </w:pPr>
      <w:r>
        <w:rPr>
          <w:rStyle w:val="FootnoteReference"/>
        </w:rPr>
        <w:footnoteRef/>
      </w:r>
      <w:r>
        <w:t xml:space="preserve"> Grupo multimercado: </w:t>
      </w:r>
      <w:r w:rsidR="00A41E33">
        <w:t xml:space="preserve">classificação </w:t>
      </w:r>
      <w:r w:rsidR="000E29B9">
        <w:t xml:space="preserve">autoral </w:t>
      </w:r>
      <w:r w:rsidR="00303ED0">
        <w:t xml:space="preserve">que </w:t>
      </w:r>
      <w:r w:rsidR="0060125D">
        <w:t xml:space="preserve">agrega os fundos multimercados com as características mais tradicionais. O Grupo multimercado inclui </w:t>
      </w:r>
      <w:r w:rsidR="00F53731">
        <w:t xml:space="preserve">os Multimercados Alocação/Estratégia/Investimento no Exterior Balanceados, Dinâmicos, Macro, Juros e Moeda, Livre, </w:t>
      </w:r>
      <w:r w:rsidR="006A4AB7">
        <w:t xml:space="preserve">Capital Protegido e Estratégia Específica (de acordo com a </w:t>
      </w:r>
      <w:hyperlink r:id="rId2" w:history="1">
        <w:r w:rsidR="006A4AB7" w:rsidRPr="006A4AB7">
          <w:rPr>
            <w:rStyle w:val="Hyperlink"/>
          </w:rPr>
          <w:t>cartilha de classificação de fundos da Anbima</w:t>
        </w:r>
      </w:hyperlink>
      <w:r w:rsidR="006A4AB7">
        <w:t>).</w:t>
      </w:r>
    </w:p>
  </w:footnote>
  <w:footnote w:id="4">
    <w:p w14:paraId="1ACDC4EC" w14:textId="201380A4" w:rsidR="00C73FAF" w:rsidRPr="00957922" w:rsidRDefault="00C73FAF" w:rsidP="00C73FAF">
      <w:pPr>
        <w:pStyle w:val="FootnoteText"/>
        <w:rPr>
          <w:rFonts w:cstheme="minorHAnsi"/>
        </w:rPr>
      </w:pPr>
      <w:r w:rsidRPr="00957922">
        <w:rPr>
          <w:rStyle w:val="FootnoteReference"/>
          <w:rFonts w:cstheme="minorHAnsi"/>
        </w:rPr>
        <w:footnoteRef/>
      </w:r>
      <w:r w:rsidRPr="00957922">
        <w:rPr>
          <w:rFonts w:cstheme="minorHAnsi"/>
        </w:rPr>
        <w:t xml:space="preserve"> Um momento central é uma medida que quantifica a forma de uma distribuição de probabilidade. O primeiro e o segundo momento central são, respectivamente</w:t>
      </w:r>
      <w:r w:rsidR="008902B7" w:rsidRPr="00957922">
        <w:rPr>
          <w:rFonts w:cstheme="minorHAnsi"/>
        </w:rPr>
        <w:t>,</w:t>
      </w:r>
      <w:r w:rsidRPr="00957922">
        <w:rPr>
          <w:rFonts w:cstheme="minorHAnsi"/>
        </w:rPr>
        <w:t xml:space="preserve"> </w:t>
      </w:r>
      <w:r w:rsidR="00BC581C" w:rsidRPr="00957922">
        <w:rPr>
          <w:rFonts w:cstheme="minorHAnsi"/>
        </w:rPr>
        <w:t>a média dos desvios da própria média</w:t>
      </w:r>
      <w:r w:rsidR="008902B7" w:rsidRPr="00957922">
        <w:rPr>
          <w:rFonts w:cstheme="minorHAnsi"/>
        </w:rPr>
        <w:t xml:space="preserve"> (sempre igual a 0) </w:t>
      </w:r>
      <w:r w:rsidR="00944DA0" w:rsidRPr="00957922">
        <w:rPr>
          <w:rFonts w:cstheme="minorHAnsi"/>
        </w:rPr>
        <w:t xml:space="preserve">e </w:t>
      </w:r>
      <w:r w:rsidR="008902B7" w:rsidRPr="00957922">
        <w:rPr>
          <w:rFonts w:cstheme="minorHAnsi"/>
        </w:rPr>
        <w:t xml:space="preserve">a </w:t>
      </w:r>
      <w:r w:rsidR="00944DA0" w:rsidRPr="00957922">
        <w:rPr>
          <w:rFonts w:cstheme="minorHAnsi"/>
        </w:rPr>
        <w:t>variância</w:t>
      </w:r>
      <w:r w:rsidR="00DD3049" w:rsidRPr="00957922">
        <w:rPr>
          <w:rFonts w:cstheme="minorHAnsi"/>
        </w:rPr>
        <w:t>.</w:t>
      </w:r>
    </w:p>
    <w:p w14:paraId="185CBE8E" w14:textId="0FF5EF9B" w:rsidR="00C73FAF" w:rsidRDefault="00C73FAF" w:rsidP="00C73FAF">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7EAB34" w14:textId="112C29C0" w:rsidR="00265249" w:rsidRDefault="00265249">
    <w:pPr>
      <w:pStyle w:val="Header"/>
    </w:pPr>
    <w:r>
      <w:rPr>
        <w:noProof/>
      </w:rPr>
      <w:drawing>
        <wp:inline distT="0" distB="0" distL="0" distR="0" wp14:anchorId="664A662B" wp14:editId="4F3E5B08">
          <wp:extent cx="1923810" cy="552381"/>
          <wp:effectExtent l="0" t="0" r="635" b="635"/>
          <wp:docPr id="645645751" name="Picture 64564575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45751" name="Picture 1" descr="A close up of a logo&#10;&#10;Description automatically generated"/>
                  <pic:cNvPicPr/>
                </pic:nvPicPr>
                <pic:blipFill>
                  <a:blip r:embed="rId1"/>
                  <a:stretch>
                    <a:fillRect/>
                  </a:stretch>
                </pic:blipFill>
                <pic:spPr>
                  <a:xfrm>
                    <a:off x="0" y="0"/>
                    <a:ext cx="1923810" cy="552381"/>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bookmark int2:bookmarkName="_Int_L3nhm2We" int2:invalidationBookmarkName="" int2:hashCode="D/OhHiqAdxRlZR" int2:id="d7Lmmaqe">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D132D"/>
    <w:multiLevelType w:val="hybridMultilevel"/>
    <w:tmpl w:val="2850FB2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A767726"/>
    <w:multiLevelType w:val="multilevel"/>
    <w:tmpl w:val="63B6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23CCD"/>
    <w:multiLevelType w:val="multilevel"/>
    <w:tmpl w:val="709A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31745B"/>
    <w:multiLevelType w:val="multilevel"/>
    <w:tmpl w:val="0AA8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8B6E6F"/>
    <w:multiLevelType w:val="multilevel"/>
    <w:tmpl w:val="F3CA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425833"/>
    <w:multiLevelType w:val="multilevel"/>
    <w:tmpl w:val="E6FE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A753DA"/>
    <w:multiLevelType w:val="hybridMultilevel"/>
    <w:tmpl w:val="1180BD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47B47658"/>
    <w:multiLevelType w:val="multilevel"/>
    <w:tmpl w:val="CFA0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E777FE"/>
    <w:multiLevelType w:val="hybridMultilevel"/>
    <w:tmpl w:val="5E7405E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56A4271B"/>
    <w:multiLevelType w:val="multilevel"/>
    <w:tmpl w:val="E0BC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902774"/>
    <w:multiLevelType w:val="multilevel"/>
    <w:tmpl w:val="7D1E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934FB4"/>
    <w:multiLevelType w:val="multilevel"/>
    <w:tmpl w:val="00F2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E06771"/>
    <w:multiLevelType w:val="hybridMultilevel"/>
    <w:tmpl w:val="EDD23E0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6CC45AD2"/>
    <w:multiLevelType w:val="multilevel"/>
    <w:tmpl w:val="EA16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3177B8"/>
    <w:multiLevelType w:val="hybridMultilevel"/>
    <w:tmpl w:val="9CAA991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066682720">
    <w:abstractNumId w:val="4"/>
  </w:num>
  <w:num w:numId="2" w16cid:durableId="1428695057">
    <w:abstractNumId w:val="8"/>
  </w:num>
  <w:num w:numId="3" w16cid:durableId="701243715">
    <w:abstractNumId w:val="6"/>
  </w:num>
  <w:num w:numId="4" w16cid:durableId="1134984499">
    <w:abstractNumId w:val="11"/>
  </w:num>
  <w:num w:numId="5" w16cid:durableId="528178581">
    <w:abstractNumId w:val="13"/>
  </w:num>
  <w:num w:numId="6" w16cid:durableId="1809980741">
    <w:abstractNumId w:val="9"/>
  </w:num>
  <w:num w:numId="7" w16cid:durableId="1030374849">
    <w:abstractNumId w:val="2"/>
  </w:num>
  <w:num w:numId="8" w16cid:durableId="2016612575">
    <w:abstractNumId w:val="5"/>
  </w:num>
  <w:num w:numId="9" w16cid:durableId="1665275965">
    <w:abstractNumId w:val="10"/>
  </w:num>
  <w:num w:numId="10" w16cid:durableId="1002049159">
    <w:abstractNumId w:val="3"/>
  </w:num>
  <w:num w:numId="11" w16cid:durableId="1843817914">
    <w:abstractNumId w:val="1"/>
  </w:num>
  <w:num w:numId="12" w16cid:durableId="1093430603">
    <w:abstractNumId w:val="7"/>
  </w:num>
  <w:num w:numId="13" w16cid:durableId="1882279880">
    <w:abstractNumId w:val="12"/>
  </w:num>
  <w:num w:numId="14" w16cid:durableId="1884829990">
    <w:abstractNumId w:val="0"/>
  </w:num>
  <w:num w:numId="15" w16cid:durableId="32855897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documentProtection w:edit="trackedChanges" w:enforcement="1" w:cryptProviderType="rsaAES" w:cryptAlgorithmClass="hash" w:cryptAlgorithmType="typeAny" w:cryptAlgorithmSid="14" w:cryptSpinCount="100000" w:hash="H6Y2peNMPnIiLOhvacZuZ9UNSrpjj0iuuWGLCOb8n1tiakSf2ViS+CBqVVSllu44hC/D7+X0bhmwfYRuMho0ew==" w:salt="PSORH+hTG2DlOCqd7YfzSA=="/>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602"/>
    <w:rsid w:val="00000AB8"/>
    <w:rsid w:val="000034EF"/>
    <w:rsid w:val="00015EC6"/>
    <w:rsid w:val="00016FCF"/>
    <w:rsid w:val="000236B3"/>
    <w:rsid w:val="00026806"/>
    <w:rsid w:val="00030EF8"/>
    <w:rsid w:val="00031278"/>
    <w:rsid w:val="00042742"/>
    <w:rsid w:val="00043D21"/>
    <w:rsid w:val="00047149"/>
    <w:rsid w:val="00050B3D"/>
    <w:rsid w:val="00053D91"/>
    <w:rsid w:val="00055EEC"/>
    <w:rsid w:val="00061B10"/>
    <w:rsid w:val="00061E27"/>
    <w:rsid w:val="00066F08"/>
    <w:rsid w:val="00067240"/>
    <w:rsid w:val="00072849"/>
    <w:rsid w:val="00076DE2"/>
    <w:rsid w:val="00080F13"/>
    <w:rsid w:val="0008119F"/>
    <w:rsid w:val="0008610B"/>
    <w:rsid w:val="000862EE"/>
    <w:rsid w:val="00086FBA"/>
    <w:rsid w:val="000873E9"/>
    <w:rsid w:val="0009291D"/>
    <w:rsid w:val="000969A5"/>
    <w:rsid w:val="000A616B"/>
    <w:rsid w:val="000B10EB"/>
    <w:rsid w:val="000B656A"/>
    <w:rsid w:val="000B66EF"/>
    <w:rsid w:val="000B7601"/>
    <w:rsid w:val="000C12CB"/>
    <w:rsid w:val="000C36A6"/>
    <w:rsid w:val="000C6F24"/>
    <w:rsid w:val="000D2E70"/>
    <w:rsid w:val="000D4AB1"/>
    <w:rsid w:val="000E2196"/>
    <w:rsid w:val="000E29B9"/>
    <w:rsid w:val="000E29D8"/>
    <w:rsid w:val="000E48E2"/>
    <w:rsid w:val="000E5FFB"/>
    <w:rsid w:val="000E7E75"/>
    <w:rsid w:val="000E7FF4"/>
    <w:rsid w:val="000F044B"/>
    <w:rsid w:val="000F0FF3"/>
    <w:rsid w:val="000F2449"/>
    <w:rsid w:val="000F2C97"/>
    <w:rsid w:val="000F4808"/>
    <w:rsid w:val="000F4EC6"/>
    <w:rsid w:val="000F5BA1"/>
    <w:rsid w:val="001028C8"/>
    <w:rsid w:val="00105DD0"/>
    <w:rsid w:val="00107BA9"/>
    <w:rsid w:val="001101CC"/>
    <w:rsid w:val="001107A3"/>
    <w:rsid w:val="0011084E"/>
    <w:rsid w:val="00112E73"/>
    <w:rsid w:val="00116791"/>
    <w:rsid w:val="00117350"/>
    <w:rsid w:val="00122342"/>
    <w:rsid w:val="00126307"/>
    <w:rsid w:val="00126B9B"/>
    <w:rsid w:val="00127BD5"/>
    <w:rsid w:val="0013097F"/>
    <w:rsid w:val="00135D20"/>
    <w:rsid w:val="00136ABC"/>
    <w:rsid w:val="00136E1C"/>
    <w:rsid w:val="00142353"/>
    <w:rsid w:val="001427E5"/>
    <w:rsid w:val="0014497A"/>
    <w:rsid w:val="0014629A"/>
    <w:rsid w:val="001476C2"/>
    <w:rsid w:val="00151F9F"/>
    <w:rsid w:val="00155AE3"/>
    <w:rsid w:val="00162FC7"/>
    <w:rsid w:val="00165719"/>
    <w:rsid w:val="001678B1"/>
    <w:rsid w:val="00170384"/>
    <w:rsid w:val="00171190"/>
    <w:rsid w:val="00173D7D"/>
    <w:rsid w:val="00180103"/>
    <w:rsid w:val="00187E1A"/>
    <w:rsid w:val="00196C0D"/>
    <w:rsid w:val="00197B2A"/>
    <w:rsid w:val="001A2EAA"/>
    <w:rsid w:val="001A5EF0"/>
    <w:rsid w:val="001A6C5A"/>
    <w:rsid w:val="001B2481"/>
    <w:rsid w:val="001B2D0B"/>
    <w:rsid w:val="001B62F1"/>
    <w:rsid w:val="001B6D4F"/>
    <w:rsid w:val="001C3861"/>
    <w:rsid w:val="001C402F"/>
    <w:rsid w:val="001C700C"/>
    <w:rsid w:val="001C7B42"/>
    <w:rsid w:val="001D2E78"/>
    <w:rsid w:val="001D7027"/>
    <w:rsid w:val="001E09A2"/>
    <w:rsid w:val="001E36C5"/>
    <w:rsid w:val="001E6B50"/>
    <w:rsid w:val="001E6E26"/>
    <w:rsid w:val="001E7949"/>
    <w:rsid w:val="001F44E4"/>
    <w:rsid w:val="0020448A"/>
    <w:rsid w:val="00205FCE"/>
    <w:rsid w:val="00207306"/>
    <w:rsid w:val="00212821"/>
    <w:rsid w:val="00213806"/>
    <w:rsid w:val="00224787"/>
    <w:rsid w:val="002250AA"/>
    <w:rsid w:val="00242AD3"/>
    <w:rsid w:val="00251B3A"/>
    <w:rsid w:val="00252C91"/>
    <w:rsid w:val="0025657B"/>
    <w:rsid w:val="002650DA"/>
    <w:rsid w:val="00265249"/>
    <w:rsid w:val="0027116D"/>
    <w:rsid w:val="0027159D"/>
    <w:rsid w:val="0027251F"/>
    <w:rsid w:val="00274FBB"/>
    <w:rsid w:val="00276983"/>
    <w:rsid w:val="00281A17"/>
    <w:rsid w:val="002828C8"/>
    <w:rsid w:val="002834E5"/>
    <w:rsid w:val="002837E8"/>
    <w:rsid w:val="002902BB"/>
    <w:rsid w:val="002913F3"/>
    <w:rsid w:val="00297E24"/>
    <w:rsid w:val="002A11FA"/>
    <w:rsid w:val="002A1E05"/>
    <w:rsid w:val="002A2539"/>
    <w:rsid w:val="002A5AD3"/>
    <w:rsid w:val="002B7DA8"/>
    <w:rsid w:val="002D5412"/>
    <w:rsid w:val="002E0CF9"/>
    <w:rsid w:val="002E1B59"/>
    <w:rsid w:val="002E1DF9"/>
    <w:rsid w:val="002F04A5"/>
    <w:rsid w:val="002F24FA"/>
    <w:rsid w:val="002F7335"/>
    <w:rsid w:val="002F794F"/>
    <w:rsid w:val="00303BAA"/>
    <w:rsid w:val="00303ED0"/>
    <w:rsid w:val="003079F4"/>
    <w:rsid w:val="00313313"/>
    <w:rsid w:val="003173A1"/>
    <w:rsid w:val="00317E70"/>
    <w:rsid w:val="00323660"/>
    <w:rsid w:val="003253E4"/>
    <w:rsid w:val="0033133F"/>
    <w:rsid w:val="00332C66"/>
    <w:rsid w:val="003332C8"/>
    <w:rsid w:val="00333333"/>
    <w:rsid w:val="00336588"/>
    <w:rsid w:val="00337BA0"/>
    <w:rsid w:val="0034065D"/>
    <w:rsid w:val="003420CC"/>
    <w:rsid w:val="00347E00"/>
    <w:rsid w:val="00350F13"/>
    <w:rsid w:val="00354861"/>
    <w:rsid w:val="00355F50"/>
    <w:rsid w:val="00355F90"/>
    <w:rsid w:val="003679EF"/>
    <w:rsid w:val="003705F5"/>
    <w:rsid w:val="00371B54"/>
    <w:rsid w:val="00372D3D"/>
    <w:rsid w:val="00373DAD"/>
    <w:rsid w:val="00381304"/>
    <w:rsid w:val="00385668"/>
    <w:rsid w:val="003928AA"/>
    <w:rsid w:val="0039451D"/>
    <w:rsid w:val="00396A6D"/>
    <w:rsid w:val="003A182C"/>
    <w:rsid w:val="003A2231"/>
    <w:rsid w:val="003A2650"/>
    <w:rsid w:val="003A2A87"/>
    <w:rsid w:val="003A6030"/>
    <w:rsid w:val="003A6AD1"/>
    <w:rsid w:val="003C3917"/>
    <w:rsid w:val="003C39AE"/>
    <w:rsid w:val="003C3DC4"/>
    <w:rsid w:val="003C565C"/>
    <w:rsid w:val="003D4E6B"/>
    <w:rsid w:val="003D537C"/>
    <w:rsid w:val="003D6EE4"/>
    <w:rsid w:val="003E16B4"/>
    <w:rsid w:val="003E3AE3"/>
    <w:rsid w:val="003F17FC"/>
    <w:rsid w:val="003F1BF5"/>
    <w:rsid w:val="003F1DB0"/>
    <w:rsid w:val="003F1FCD"/>
    <w:rsid w:val="003F75FF"/>
    <w:rsid w:val="004031B5"/>
    <w:rsid w:val="00406DB3"/>
    <w:rsid w:val="00407523"/>
    <w:rsid w:val="00407F54"/>
    <w:rsid w:val="00410ED9"/>
    <w:rsid w:val="00413DE9"/>
    <w:rsid w:val="0041437C"/>
    <w:rsid w:val="00420E3B"/>
    <w:rsid w:val="0042282C"/>
    <w:rsid w:val="00422BFE"/>
    <w:rsid w:val="00432735"/>
    <w:rsid w:val="00436523"/>
    <w:rsid w:val="00444249"/>
    <w:rsid w:val="004443A7"/>
    <w:rsid w:val="0044452D"/>
    <w:rsid w:val="00444AFC"/>
    <w:rsid w:val="00444DC1"/>
    <w:rsid w:val="00446320"/>
    <w:rsid w:val="00447127"/>
    <w:rsid w:val="004533D7"/>
    <w:rsid w:val="00456D09"/>
    <w:rsid w:val="004605B5"/>
    <w:rsid w:val="00461CDC"/>
    <w:rsid w:val="00462063"/>
    <w:rsid w:val="004622EA"/>
    <w:rsid w:val="00466227"/>
    <w:rsid w:val="004707AE"/>
    <w:rsid w:val="00472007"/>
    <w:rsid w:val="004736B6"/>
    <w:rsid w:val="00477847"/>
    <w:rsid w:val="00483EF4"/>
    <w:rsid w:val="004A16B5"/>
    <w:rsid w:val="004A248B"/>
    <w:rsid w:val="004B18EA"/>
    <w:rsid w:val="004B1D42"/>
    <w:rsid w:val="004B3094"/>
    <w:rsid w:val="004B5023"/>
    <w:rsid w:val="004C6279"/>
    <w:rsid w:val="004C77B1"/>
    <w:rsid w:val="004D1B28"/>
    <w:rsid w:val="004D467B"/>
    <w:rsid w:val="004D6A02"/>
    <w:rsid w:val="004E0CC2"/>
    <w:rsid w:val="004E1375"/>
    <w:rsid w:val="004E3BAB"/>
    <w:rsid w:val="004E5557"/>
    <w:rsid w:val="00501D36"/>
    <w:rsid w:val="005115DF"/>
    <w:rsid w:val="00511DC3"/>
    <w:rsid w:val="00514271"/>
    <w:rsid w:val="00514D2B"/>
    <w:rsid w:val="00522E8C"/>
    <w:rsid w:val="005248E4"/>
    <w:rsid w:val="00525253"/>
    <w:rsid w:val="00525CCA"/>
    <w:rsid w:val="005262F3"/>
    <w:rsid w:val="00526D29"/>
    <w:rsid w:val="00535DDD"/>
    <w:rsid w:val="005379AD"/>
    <w:rsid w:val="00541FAF"/>
    <w:rsid w:val="00542047"/>
    <w:rsid w:val="00543BAB"/>
    <w:rsid w:val="005500B6"/>
    <w:rsid w:val="00550420"/>
    <w:rsid w:val="00550A39"/>
    <w:rsid w:val="00551BD8"/>
    <w:rsid w:val="0056100D"/>
    <w:rsid w:val="005648B3"/>
    <w:rsid w:val="00565E03"/>
    <w:rsid w:val="005716F1"/>
    <w:rsid w:val="00573810"/>
    <w:rsid w:val="00577479"/>
    <w:rsid w:val="00582689"/>
    <w:rsid w:val="0058419F"/>
    <w:rsid w:val="00585174"/>
    <w:rsid w:val="00594BA4"/>
    <w:rsid w:val="005956DC"/>
    <w:rsid w:val="005A28B2"/>
    <w:rsid w:val="005A29B1"/>
    <w:rsid w:val="005B107C"/>
    <w:rsid w:val="005B1BF0"/>
    <w:rsid w:val="005B2692"/>
    <w:rsid w:val="005B2EF7"/>
    <w:rsid w:val="005B3399"/>
    <w:rsid w:val="005B6709"/>
    <w:rsid w:val="005B7694"/>
    <w:rsid w:val="005C05D1"/>
    <w:rsid w:val="005C2EF6"/>
    <w:rsid w:val="005C5240"/>
    <w:rsid w:val="005C6887"/>
    <w:rsid w:val="005D7852"/>
    <w:rsid w:val="005E1009"/>
    <w:rsid w:val="005E2BB1"/>
    <w:rsid w:val="005E60F3"/>
    <w:rsid w:val="005E6DEB"/>
    <w:rsid w:val="005F1F18"/>
    <w:rsid w:val="005F6EBA"/>
    <w:rsid w:val="0060125D"/>
    <w:rsid w:val="00601C57"/>
    <w:rsid w:val="0060244A"/>
    <w:rsid w:val="00603CDD"/>
    <w:rsid w:val="006118E3"/>
    <w:rsid w:val="00617153"/>
    <w:rsid w:val="00622B4A"/>
    <w:rsid w:val="00624236"/>
    <w:rsid w:val="00624877"/>
    <w:rsid w:val="00626F10"/>
    <w:rsid w:val="0063361E"/>
    <w:rsid w:val="00633B60"/>
    <w:rsid w:val="00634D1A"/>
    <w:rsid w:val="00642676"/>
    <w:rsid w:val="00645117"/>
    <w:rsid w:val="00647ED6"/>
    <w:rsid w:val="00650901"/>
    <w:rsid w:val="006527DC"/>
    <w:rsid w:val="00652AE8"/>
    <w:rsid w:val="0065352A"/>
    <w:rsid w:val="0065414B"/>
    <w:rsid w:val="00657BD5"/>
    <w:rsid w:val="006616B4"/>
    <w:rsid w:val="0066731D"/>
    <w:rsid w:val="00670F40"/>
    <w:rsid w:val="00674E0F"/>
    <w:rsid w:val="00675A16"/>
    <w:rsid w:val="00676EA3"/>
    <w:rsid w:val="00676EA9"/>
    <w:rsid w:val="006802AD"/>
    <w:rsid w:val="0068074D"/>
    <w:rsid w:val="00681270"/>
    <w:rsid w:val="0068213C"/>
    <w:rsid w:val="00686B5A"/>
    <w:rsid w:val="00691FBE"/>
    <w:rsid w:val="006924E5"/>
    <w:rsid w:val="006954DF"/>
    <w:rsid w:val="006977E9"/>
    <w:rsid w:val="006A13D0"/>
    <w:rsid w:val="006A4AB7"/>
    <w:rsid w:val="006B1EBD"/>
    <w:rsid w:val="006B25F0"/>
    <w:rsid w:val="006B37EE"/>
    <w:rsid w:val="006C315E"/>
    <w:rsid w:val="006C33AD"/>
    <w:rsid w:val="006D2FE4"/>
    <w:rsid w:val="006D3457"/>
    <w:rsid w:val="006D5D44"/>
    <w:rsid w:val="006E09CA"/>
    <w:rsid w:val="006E0BF5"/>
    <w:rsid w:val="006E20E4"/>
    <w:rsid w:val="006E4226"/>
    <w:rsid w:val="006E47C9"/>
    <w:rsid w:val="006E6593"/>
    <w:rsid w:val="006E704B"/>
    <w:rsid w:val="006F171B"/>
    <w:rsid w:val="006F68C6"/>
    <w:rsid w:val="007037DC"/>
    <w:rsid w:val="007040FC"/>
    <w:rsid w:val="00706026"/>
    <w:rsid w:val="0070745E"/>
    <w:rsid w:val="007112CE"/>
    <w:rsid w:val="00712064"/>
    <w:rsid w:val="007129BB"/>
    <w:rsid w:val="00713DE5"/>
    <w:rsid w:val="0071612D"/>
    <w:rsid w:val="00721439"/>
    <w:rsid w:val="00723878"/>
    <w:rsid w:val="00723E3C"/>
    <w:rsid w:val="00726BFC"/>
    <w:rsid w:val="00726D21"/>
    <w:rsid w:val="00727AA0"/>
    <w:rsid w:val="00732804"/>
    <w:rsid w:val="00733D37"/>
    <w:rsid w:val="00737E79"/>
    <w:rsid w:val="007435D1"/>
    <w:rsid w:val="007455D5"/>
    <w:rsid w:val="00745B4F"/>
    <w:rsid w:val="0075613B"/>
    <w:rsid w:val="00762592"/>
    <w:rsid w:val="007651DC"/>
    <w:rsid w:val="00765495"/>
    <w:rsid w:val="00766CA9"/>
    <w:rsid w:val="0076757F"/>
    <w:rsid w:val="00772457"/>
    <w:rsid w:val="0077258A"/>
    <w:rsid w:val="0077294B"/>
    <w:rsid w:val="00774A16"/>
    <w:rsid w:val="00775009"/>
    <w:rsid w:val="00775844"/>
    <w:rsid w:val="0078013E"/>
    <w:rsid w:val="00790C1A"/>
    <w:rsid w:val="007933F1"/>
    <w:rsid w:val="007A008B"/>
    <w:rsid w:val="007A0E37"/>
    <w:rsid w:val="007A0F40"/>
    <w:rsid w:val="007A12F9"/>
    <w:rsid w:val="007A79D5"/>
    <w:rsid w:val="007B3D7A"/>
    <w:rsid w:val="007C04BA"/>
    <w:rsid w:val="007C334E"/>
    <w:rsid w:val="007D1613"/>
    <w:rsid w:val="007D382B"/>
    <w:rsid w:val="007E1E1D"/>
    <w:rsid w:val="007E524F"/>
    <w:rsid w:val="007F2216"/>
    <w:rsid w:val="007F25B7"/>
    <w:rsid w:val="007F4453"/>
    <w:rsid w:val="007F5427"/>
    <w:rsid w:val="007F5C40"/>
    <w:rsid w:val="0080060D"/>
    <w:rsid w:val="008016C3"/>
    <w:rsid w:val="008033FF"/>
    <w:rsid w:val="00803DC2"/>
    <w:rsid w:val="00804F9A"/>
    <w:rsid w:val="0080528C"/>
    <w:rsid w:val="00806787"/>
    <w:rsid w:val="00807064"/>
    <w:rsid w:val="008141F3"/>
    <w:rsid w:val="00814E5A"/>
    <w:rsid w:val="00822AE1"/>
    <w:rsid w:val="00824BB3"/>
    <w:rsid w:val="00840698"/>
    <w:rsid w:val="00841DAC"/>
    <w:rsid w:val="008439D4"/>
    <w:rsid w:val="0084433D"/>
    <w:rsid w:val="008455EC"/>
    <w:rsid w:val="008461EA"/>
    <w:rsid w:val="00850220"/>
    <w:rsid w:val="00850E10"/>
    <w:rsid w:val="008607C1"/>
    <w:rsid w:val="008617A0"/>
    <w:rsid w:val="00866DED"/>
    <w:rsid w:val="008821F4"/>
    <w:rsid w:val="008828D7"/>
    <w:rsid w:val="008902B7"/>
    <w:rsid w:val="008921DE"/>
    <w:rsid w:val="00893B3A"/>
    <w:rsid w:val="008942B9"/>
    <w:rsid w:val="008943D3"/>
    <w:rsid w:val="00895D16"/>
    <w:rsid w:val="008A06A6"/>
    <w:rsid w:val="008A2556"/>
    <w:rsid w:val="008A2875"/>
    <w:rsid w:val="008A3B44"/>
    <w:rsid w:val="008A4380"/>
    <w:rsid w:val="008A53F8"/>
    <w:rsid w:val="008B3969"/>
    <w:rsid w:val="008B53AB"/>
    <w:rsid w:val="008B6618"/>
    <w:rsid w:val="008C0ECC"/>
    <w:rsid w:val="008C25EA"/>
    <w:rsid w:val="008C2BA6"/>
    <w:rsid w:val="008C34B9"/>
    <w:rsid w:val="008C3BC5"/>
    <w:rsid w:val="008C601E"/>
    <w:rsid w:val="008C749E"/>
    <w:rsid w:val="008D0391"/>
    <w:rsid w:val="008D6FAC"/>
    <w:rsid w:val="008E3C0F"/>
    <w:rsid w:val="008E57AD"/>
    <w:rsid w:val="008E6526"/>
    <w:rsid w:val="008E75F3"/>
    <w:rsid w:val="008F161B"/>
    <w:rsid w:val="008F2164"/>
    <w:rsid w:val="008F6915"/>
    <w:rsid w:val="009066E5"/>
    <w:rsid w:val="009074B8"/>
    <w:rsid w:val="009079E5"/>
    <w:rsid w:val="009106EA"/>
    <w:rsid w:val="00912430"/>
    <w:rsid w:val="009162DA"/>
    <w:rsid w:val="00923BCF"/>
    <w:rsid w:val="00923F6E"/>
    <w:rsid w:val="00926C3F"/>
    <w:rsid w:val="00927A1D"/>
    <w:rsid w:val="00927AF9"/>
    <w:rsid w:val="00936AA4"/>
    <w:rsid w:val="009400AC"/>
    <w:rsid w:val="00943300"/>
    <w:rsid w:val="00944DA0"/>
    <w:rsid w:val="0095661A"/>
    <w:rsid w:val="00957922"/>
    <w:rsid w:val="009618E5"/>
    <w:rsid w:val="00962194"/>
    <w:rsid w:val="009628FB"/>
    <w:rsid w:val="00965656"/>
    <w:rsid w:val="009667F1"/>
    <w:rsid w:val="00966BF7"/>
    <w:rsid w:val="00976654"/>
    <w:rsid w:val="0098096A"/>
    <w:rsid w:val="00980FFA"/>
    <w:rsid w:val="00991301"/>
    <w:rsid w:val="00993036"/>
    <w:rsid w:val="009A3E4B"/>
    <w:rsid w:val="009B3F91"/>
    <w:rsid w:val="009B454F"/>
    <w:rsid w:val="009B67AC"/>
    <w:rsid w:val="009C518B"/>
    <w:rsid w:val="009C7FA2"/>
    <w:rsid w:val="009D21F1"/>
    <w:rsid w:val="009D2C55"/>
    <w:rsid w:val="009D33F8"/>
    <w:rsid w:val="009D368D"/>
    <w:rsid w:val="009D535B"/>
    <w:rsid w:val="009D78BC"/>
    <w:rsid w:val="009E03D6"/>
    <w:rsid w:val="009E4068"/>
    <w:rsid w:val="009E623A"/>
    <w:rsid w:val="009E657A"/>
    <w:rsid w:val="009F67C7"/>
    <w:rsid w:val="009F76DC"/>
    <w:rsid w:val="00A005AB"/>
    <w:rsid w:val="00A00C78"/>
    <w:rsid w:val="00A11B9F"/>
    <w:rsid w:val="00A13B3D"/>
    <w:rsid w:val="00A21386"/>
    <w:rsid w:val="00A21888"/>
    <w:rsid w:val="00A233F1"/>
    <w:rsid w:val="00A25289"/>
    <w:rsid w:val="00A27C62"/>
    <w:rsid w:val="00A31D1C"/>
    <w:rsid w:val="00A341F3"/>
    <w:rsid w:val="00A350B9"/>
    <w:rsid w:val="00A35E38"/>
    <w:rsid w:val="00A41E33"/>
    <w:rsid w:val="00A46309"/>
    <w:rsid w:val="00A51C25"/>
    <w:rsid w:val="00A51D8F"/>
    <w:rsid w:val="00A535CE"/>
    <w:rsid w:val="00A5366E"/>
    <w:rsid w:val="00A55747"/>
    <w:rsid w:val="00A564A8"/>
    <w:rsid w:val="00A61095"/>
    <w:rsid w:val="00A621BC"/>
    <w:rsid w:val="00A63A44"/>
    <w:rsid w:val="00A70E60"/>
    <w:rsid w:val="00A743D8"/>
    <w:rsid w:val="00A75EA9"/>
    <w:rsid w:val="00A80B7F"/>
    <w:rsid w:val="00A813FA"/>
    <w:rsid w:val="00A90C0C"/>
    <w:rsid w:val="00A9209B"/>
    <w:rsid w:val="00A9262A"/>
    <w:rsid w:val="00A93E14"/>
    <w:rsid w:val="00A94269"/>
    <w:rsid w:val="00A945B7"/>
    <w:rsid w:val="00AA0394"/>
    <w:rsid w:val="00AA2D5B"/>
    <w:rsid w:val="00AB5A08"/>
    <w:rsid w:val="00AB5A4D"/>
    <w:rsid w:val="00AB7E32"/>
    <w:rsid w:val="00AC1525"/>
    <w:rsid w:val="00AC1648"/>
    <w:rsid w:val="00AC193D"/>
    <w:rsid w:val="00AD028D"/>
    <w:rsid w:val="00AD1F57"/>
    <w:rsid w:val="00AE4EA9"/>
    <w:rsid w:val="00AF13F5"/>
    <w:rsid w:val="00AF33B4"/>
    <w:rsid w:val="00B0068C"/>
    <w:rsid w:val="00B01D37"/>
    <w:rsid w:val="00B03232"/>
    <w:rsid w:val="00B05BF3"/>
    <w:rsid w:val="00B11381"/>
    <w:rsid w:val="00B11F17"/>
    <w:rsid w:val="00B12A4E"/>
    <w:rsid w:val="00B14D3E"/>
    <w:rsid w:val="00B1570E"/>
    <w:rsid w:val="00B20EC4"/>
    <w:rsid w:val="00B239E8"/>
    <w:rsid w:val="00B30B79"/>
    <w:rsid w:val="00B316E9"/>
    <w:rsid w:val="00B34B20"/>
    <w:rsid w:val="00B35DEF"/>
    <w:rsid w:val="00B36CC8"/>
    <w:rsid w:val="00B37F8B"/>
    <w:rsid w:val="00B41A72"/>
    <w:rsid w:val="00B43EAD"/>
    <w:rsid w:val="00B441B6"/>
    <w:rsid w:val="00B45136"/>
    <w:rsid w:val="00B61541"/>
    <w:rsid w:val="00B62E46"/>
    <w:rsid w:val="00B63BDC"/>
    <w:rsid w:val="00B64755"/>
    <w:rsid w:val="00B6733C"/>
    <w:rsid w:val="00B75F55"/>
    <w:rsid w:val="00B811E1"/>
    <w:rsid w:val="00B904AF"/>
    <w:rsid w:val="00B91163"/>
    <w:rsid w:val="00B9502A"/>
    <w:rsid w:val="00B96A58"/>
    <w:rsid w:val="00BA0ECD"/>
    <w:rsid w:val="00BA433C"/>
    <w:rsid w:val="00BB0C28"/>
    <w:rsid w:val="00BB6984"/>
    <w:rsid w:val="00BB6EF7"/>
    <w:rsid w:val="00BC1BCF"/>
    <w:rsid w:val="00BC5398"/>
    <w:rsid w:val="00BC581C"/>
    <w:rsid w:val="00BC798C"/>
    <w:rsid w:val="00BD2463"/>
    <w:rsid w:val="00BD2C5A"/>
    <w:rsid w:val="00BE1332"/>
    <w:rsid w:val="00BF4648"/>
    <w:rsid w:val="00BF7183"/>
    <w:rsid w:val="00C00A2D"/>
    <w:rsid w:val="00C017DB"/>
    <w:rsid w:val="00C01F43"/>
    <w:rsid w:val="00C023F3"/>
    <w:rsid w:val="00C03BF8"/>
    <w:rsid w:val="00C05945"/>
    <w:rsid w:val="00C11E48"/>
    <w:rsid w:val="00C172B0"/>
    <w:rsid w:val="00C1792D"/>
    <w:rsid w:val="00C243C2"/>
    <w:rsid w:val="00C4021F"/>
    <w:rsid w:val="00C41311"/>
    <w:rsid w:val="00C41510"/>
    <w:rsid w:val="00C41C3E"/>
    <w:rsid w:val="00C43BBE"/>
    <w:rsid w:val="00C45BE9"/>
    <w:rsid w:val="00C507F0"/>
    <w:rsid w:val="00C54E1A"/>
    <w:rsid w:val="00C633EE"/>
    <w:rsid w:val="00C66093"/>
    <w:rsid w:val="00C671FD"/>
    <w:rsid w:val="00C70656"/>
    <w:rsid w:val="00C7181D"/>
    <w:rsid w:val="00C73FAF"/>
    <w:rsid w:val="00C81DFB"/>
    <w:rsid w:val="00C9067C"/>
    <w:rsid w:val="00C91954"/>
    <w:rsid w:val="00C92B9C"/>
    <w:rsid w:val="00CA0805"/>
    <w:rsid w:val="00CA0D17"/>
    <w:rsid w:val="00CA0F9A"/>
    <w:rsid w:val="00CA1B8C"/>
    <w:rsid w:val="00CA2517"/>
    <w:rsid w:val="00CA2BDB"/>
    <w:rsid w:val="00CA3EB7"/>
    <w:rsid w:val="00CA5E3D"/>
    <w:rsid w:val="00CA656A"/>
    <w:rsid w:val="00CA7AA0"/>
    <w:rsid w:val="00CB1D04"/>
    <w:rsid w:val="00CB2DFD"/>
    <w:rsid w:val="00CB32AE"/>
    <w:rsid w:val="00CB6541"/>
    <w:rsid w:val="00CC06AA"/>
    <w:rsid w:val="00CC1BBB"/>
    <w:rsid w:val="00CC3C80"/>
    <w:rsid w:val="00CC3D85"/>
    <w:rsid w:val="00CC416B"/>
    <w:rsid w:val="00CD4B93"/>
    <w:rsid w:val="00CD73AC"/>
    <w:rsid w:val="00CE0CAF"/>
    <w:rsid w:val="00CE2932"/>
    <w:rsid w:val="00CE38F1"/>
    <w:rsid w:val="00CF4336"/>
    <w:rsid w:val="00D00EF1"/>
    <w:rsid w:val="00D02227"/>
    <w:rsid w:val="00D03999"/>
    <w:rsid w:val="00D05161"/>
    <w:rsid w:val="00D05BBC"/>
    <w:rsid w:val="00D07ACA"/>
    <w:rsid w:val="00D11111"/>
    <w:rsid w:val="00D118FF"/>
    <w:rsid w:val="00D137DA"/>
    <w:rsid w:val="00D23D79"/>
    <w:rsid w:val="00D23FC9"/>
    <w:rsid w:val="00D27337"/>
    <w:rsid w:val="00D302C1"/>
    <w:rsid w:val="00D30932"/>
    <w:rsid w:val="00D3260A"/>
    <w:rsid w:val="00D35784"/>
    <w:rsid w:val="00D37129"/>
    <w:rsid w:val="00D377C6"/>
    <w:rsid w:val="00D44C37"/>
    <w:rsid w:val="00D45A3E"/>
    <w:rsid w:val="00D460B4"/>
    <w:rsid w:val="00D460E7"/>
    <w:rsid w:val="00D4662B"/>
    <w:rsid w:val="00D46919"/>
    <w:rsid w:val="00D50F6F"/>
    <w:rsid w:val="00D52DD1"/>
    <w:rsid w:val="00D56BBB"/>
    <w:rsid w:val="00D621FF"/>
    <w:rsid w:val="00D63199"/>
    <w:rsid w:val="00D633DC"/>
    <w:rsid w:val="00D64993"/>
    <w:rsid w:val="00D70711"/>
    <w:rsid w:val="00D70BDA"/>
    <w:rsid w:val="00D71987"/>
    <w:rsid w:val="00D74A6A"/>
    <w:rsid w:val="00D75505"/>
    <w:rsid w:val="00D844EF"/>
    <w:rsid w:val="00D84849"/>
    <w:rsid w:val="00D85DCE"/>
    <w:rsid w:val="00D908F6"/>
    <w:rsid w:val="00D922B8"/>
    <w:rsid w:val="00D940D1"/>
    <w:rsid w:val="00D94EE3"/>
    <w:rsid w:val="00D978E5"/>
    <w:rsid w:val="00DA1DAE"/>
    <w:rsid w:val="00DA24EA"/>
    <w:rsid w:val="00DA36E3"/>
    <w:rsid w:val="00DA4D9B"/>
    <w:rsid w:val="00DA767E"/>
    <w:rsid w:val="00DB4D73"/>
    <w:rsid w:val="00DB5286"/>
    <w:rsid w:val="00DB6E48"/>
    <w:rsid w:val="00DC28F5"/>
    <w:rsid w:val="00DC2E1B"/>
    <w:rsid w:val="00DC7BF5"/>
    <w:rsid w:val="00DD053C"/>
    <w:rsid w:val="00DD3049"/>
    <w:rsid w:val="00DD34FC"/>
    <w:rsid w:val="00DD60CF"/>
    <w:rsid w:val="00DE0602"/>
    <w:rsid w:val="00DE47C7"/>
    <w:rsid w:val="00DE4B0C"/>
    <w:rsid w:val="00DE5064"/>
    <w:rsid w:val="00DE6923"/>
    <w:rsid w:val="00DF1C91"/>
    <w:rsid w:val="00DF4626"/>
    <w:rsid w:val="00DF604A"/>
    <w:rsid w:val="00E0128A"/>
    <w:rsid w:val="00E02723"/>
    <w:rsid w:val="00E04DF1"/>
    <w:rsid w:val="00E113C0"/>
    <w:rsid w:val="00E11D34"/>
    <w:rsid w:val="00E178D8"/>
    <w:rsid w:val="00E20034"/>
    <w:rsid w:val="00E2005A"/>
    <w:rsid w:val="00E21D2D"/>
    <w:rsid w:val="00E23A89"/>
    <w:rsid w:val="00E23E78"/>
    <w:rsid w:val="00E2538A"/>
    <w:rsid w:val="00E2707A"/>
    <w:rsid w:val="00E43755"/>
    <w:rsid w:val="00E50A38"/>
    <w:rsid w:val="00E512CA"/>
    <w:rsid w:val="00E5322B"/>
    <w:rsid w:val="00E622E4"/>
    <w:rsid w:val="00E62347"/>
    <w:rsid w:val="00E71EC8"/>
    <w:rsid w:val="00E75AB7"/>
    <w:rsid w:val="00E85C97"/>
    <w:rsid w:val="00E90776"/>
    <w:rsid w:val="00E90AF7"/>
    <w:rsid w:val="00E91A12"/>
    <w:rsid w:val="00E92CA4"/>
    <w:rsid w:val="00E94BBA"/>
    <w:rsid w:val="00E97D2E"/>
    <w:rsid w:val="00EA1AA1"/>
    <w:rsid w:val="00EA1BE0"/>
    <w:rsid w:val="00EA6F70"/>
    <w:rsid w:val="00EA7DB6"/>
    <w:rsid w:val="00EB2244"/>
    <w:rsid w:val="00EB4438"/>
    <w:rsid w:val="00EB6D47"/>
    <w:rsid w:val="00EB7FD1"/>
    <w:rsid w:val="00EC0338"/>
    <w:rsid w:val="00EC25C5"/>
    <w:rsid w:val="00EC2FBF"/>
    <w:rsid w:val="00EC3C25"/>
    <w:rsid w:val="00EC417A"/>
    <w:rsid w:val="00ED0972"/>
    <w:rsid w:val="00ED18EA"/>
    <w:rsid w:val="00ED3F91"/>
    <w:rsid w:val="00ED4724"/>
    <w:rsid w:val="00EE39B1"/>
    <w:rsid w:val="00EF50FA"/>
    <w:rsid w:val="00F04236"/>
    <w:rsid w:val="00F058DA"/>
    <w:rsid w:val="00F069E6"/>
    <w:rsid w:val="00F16840"/>
    <w:rsid w:val="00F20D53"/>
    <w:rsid w:val="00F22554"/>
    <w:rsid w:val="00F30EA1"/>
    <w:rsid w:val="00F3203B"/>
    <w:rsid w:val="00F32767"/>
    <w:rsid w:val="00F33A71"/>
    <w:rsid w:val="00F348A6"/>
    <w:rsid w:val="00F34E3B"/>
    <w:rsid w:val="00F358CB"/>
    <w:rsid w:val="00F41DA4"/>
    <w:rsid w:val="00F42A1A"/>
    <w:rsid w:val="00F43E65"/>
    <w:rsid w:val="00F446FC"/>
    <w:rsid w:val="00F470CE"/>
    <w:rsid w:val="00F53731"/>
    <w:rsid w:val="00F549BB"/>
    <w:rsid w:val="00F56007"/>
    <w:rsid w:val="00F61393"/>
    <w:rsid w:val="00F64529"/>
    <w:rsid w:val="00F647AF"/>
    <w:rsid w:val="00F64F09"/>
    <w:rsid w:val="00F71223"/>
    <w:rsid w:val="00F712B2"/>
    <w:rsid w:val="00F731BB"/>
    <w:rsid w:val="00F767FE"/>
    <w:rsid w:val="00F801FD"/>
    <w:rsid w:val="00F8118B"/>
    <w:rsid w:val="00F8588E"/>
    <w:rsid w:val="00F86AB6"/>
    <w:rsid w:val="00F87196"/>
    <w:rsid w:val="00FA0FED"/>
    <w:rsid w:val="00FA3822"/>
    <w:rsid w:val="00FA4718"/>
    <w:rsid w:val="00FA5C24"/>
    <w:rsid w:val="00FB116C"/>
    <w:rsid w:val="00FB1CC3"/>
    <w:rsid w:val="00FB25A7"/>
    <w:rsid w:val="00FB2F3A"/>
    <w:rsid w:val="00FB5B30"/>
    <w:rsid w:val="00FC07A5"/>
    <w:rsid w:val="00FC5EEA"/>
    <w:rsid w:val="00FD04BF"/>
    <w:rsid w:val="00FD4CD8"/>
    <w:rsid w:val="00FF1C5B"/>
    <w:rsid w:val="00FF54C4"/>
    <w:rsid w:val="00FF54CC"/>
    <w:rsid w:val="00FF6AE2"/>
    <w:rsid w:val="00FF6F7E"/>
    <w:rsid w:val="27B979D7"/>
    <w:rsid w:val="38B509C1"/>
    <w:rsid w:val="448C4E24"/>
    <w:rsid w:val="51ECFB60"/>
    <w:rsid w:val="5EE9BDB4"/>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70BC5"/>
  <w15:chartTrackingRefBased/>
  <w15:docId w15:val="{EC311031-E7AA-49B5-9EA2-D4D079A2A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B30"/>
    <w:pPr>
      <w:keepLines w:val="0"/>
      <w:spacing w:after="100" w:line="259" w:lineRule="auto" w:before="0"/>
    </w:pPr>
    <w:rPr>
      <w:rFonts w:ascii="Calibri" w:hAnsi="Calibri"/>
      <w:color w:val="000000"/>
      <w:sz w:val="21"/>
    </w:rPr>
  </w:style>
  <w:style w:type="paragraph" w:styleId="Heading1">
    <w:name w:val="heading 1"/>
    <w:basedOn w:val="Normal"/>
    <w:next w:val="Normal"/>
    <w:link w:val="Heading1Char"/>
    <w:uiPriority w:val="9"/>
    <w:qFormat/>
    <w:rsid w:val="00DD053C"/>
    <w:pPr>
      <w:keepNext/>
      <w:keepLines/>
      <w:spacing w:before="240" w:after="100"/>
      <w:outlineLvl w:val="0"/>
    </w:pPr>
    <w:rPr>
      <w:rFonts w:asciiTheme="majorHAnsi" w:eastAsiaTheme="majorEastAsia" w:hAnsiTheme="majorHAnsi" w:cstheme="majorBidi" w:ascii="Calibri" w:hAnsi="Calibri"/>
      <w:color w:val="2F5496"/>
      <w:sz w:val="28"/>
      <w:szCs w:val="32"/>
    </w:rPr>
  </w:style>
  <w:style w:type="paragraph" w:styleId="Heading2">
    <w:name w:val="heading 2"/>
    <w:basedOn w:val="Normal"/>
    <w:next w:val="Normal"/>
    <w:link w:val="Heading2Char"/>
    <w:uiPriority w:val="9"/>
    <w:unhideWhenUsed/>
    <w:qFormat/>
    <w:rsid w:val="00DD053C"/>
    <w:pPr>
      <w:keepNext/>
      <w:keepLines/>
      <w:spacing w:before="160" w:after="60"/>
      <w:outlineLvl w:val="1"/>
    </w:pPr>
    <w:rPr>
      <w:rFonts w:asciiTheme="majorHAnsi" w:eastAsiaTheme="majorEastAsia" w:hAnsiTheme="majorHAnsi" w:cstheme="majorBidi" w:ascii="Calibri" w:hAnsi="Calibri"/>
      <w:color w:val="2F5496"/>
      <w:sz w:val="23"/>
      <w:szCs w:val="26"/>
    </w:rPr>
  </w:style>
  <w:style w:type="paragraph" w:styleId="Heading3">
    <w:name w:val="heading 3"/>
    <w:basedOn w:val="Normal"/>
    <w:next w:val="Normal"/>
    <w:link w:val="Heading3Char"/>
    <w:uiPriority w:val="9"/>
    <w:unhideWhenUsed/>
    <w:qFormat/>
    <w:rsid w:val="005379A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D44C3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D053C"/>
    <w:pPr>
      <w:spacing w:after="140" w:line="240" w:lineRule="auto" w:before="0"/>
      <w:contextualSpacing/>
    </w:pPr>
    <w:rPr>
      <w:rFonts w:asciiTheme="majorHAnsi" w:eastAsiaTheme="majorEastAsia" w:hAnsiTheme="majorHAnsi" w:cstheme="majorBidi" w:ascii="Calibri" w:hAnsi="Calibri"/>
      <w:color w:val="000000"/>
      <w:spacing w:val="-10"/>
      <w:kern w:val="28"/>
      <w:sz w:val="46"/>
      <w:szCs w:val="56"/>
    </w:rPr>
  </w:style>
  <w:style w:type="character" w:customStyle="1" w:styleId="TitleChar">
    <w:name w:val="Title Char"/>
    <w:basedOn w:val="DefaultParagraphFont"/>
    <w:link w:val="Title"/>
    <w:uiPriority w:val="10"/>
    <w:rsid w:val="00DD05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53C"/>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D053C"/>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DD053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D053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379AD"/>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9074B8"/>
    <w:rPr>
      <w:color w:val="808080"/>
    </w:rPr>
  </w:style>
  <w:style w:type="character" w:customStyle="1" w:styleId="Heading4Char">
    <w:name w:val="Heading 4 Char"/>
    <w:basedOn w:val="DefaultParagraphFont"/>
    <w:link w:val="Heading4"/>
    <w:uiPriority w:val="9"/>
    <w:rsid w:val="00D44C37"/>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265249"/>
    <w:pPr>
      <w:tabs>
        <w:tab w:val="center" w:pos="4252"/>
        <w:tab w:val="right" w:pos="8504"/>
      </w:tabs>
      <w:spacing w:after="0" w:line="240" w:lineRule="auto"/>
    </w:pPr>
  </w:style>
  <w:style w:type="character" w:customStyle="1" w:styleId="HeaderChar">
    <w:name w:val="Header Char"/>
    <w:basedOn w:val="DefaultParagraphFont"/>
    <w:link w:val="Header"/>
    <w:uiPriority w:val="99"/>
    <w:rsid w:val="00265249"/>
  </w:style>
  <w:style w:type="paragraph" w:styleId="Footer">
    <w:name w:val="footer"/>
    <w:basedOn w:val="Normal"/>
    <w:link w:val="FooterChar"/>
    <w:uiPriority w:val="99"/>
    <w:unhideWhenUsed/>
    <w:rsid w:val="00265249"/>
    <w:pPr>
      <w:tabs>
        <w:tab w:val="center" w:pos="4252"/>
        <w:tab w:val="right" w:pos="8504"/>
      </w:tabs>
      <w:spacing w:after="0" w:line="240" w:lineRule="auto"/>
    </w:pPr>
  </w:style>
  <w:style w:type="character" w:customStyle="1" w:styleId="FooterChar">
    <w:name w:val="Footer Char"/>
    <w:basedOn w:val="DefaultParagraphFont"/>
    <w:link w:val="Footer"/>
    <w:uiPriority w:val="99"/>
    <w:rsid w:val="00265249"/>
  </w:style>
  <w:style w:type="character" w:styleId="Hyperlink">
    <w:name w:val="Hyperlink"/>
    <w:basedOn w:val="DefaultParagraphFont"/>
    <w:uiPriority w:val="99"/>
    <w:unhideWhenUsed/>
    <w:rsid w:val="008821F4"/>
    <w:rPr>
      <w:color w:val="0000FF"/>
      <w:u w:val="single"/>
    </w:rPr>
  </w:style>
  <w:style w:type="paragraph" w:styleId="FootnoteText">
    <w:name w:val="footnote text"/>
    <w:basedOn w:val="Normal"/>
    <w:link w:val="FootnoteTextChar"/>
    <w:uiPriority w:val="99"/>
    <w:unhideWhenUsed/>
    <w:rsid w:val="000D2E70"/>
    <w:pPr>
      <w:spacing w:after="0" w:line="240" w:lineRule="auto"/>
    </w:pPr>
    <w:rPr>
      <w:sz w:val="20"/>
      <w:szCs w:val="20"/>
    </w:rPr>
  </w:style>
  <w:style w:type="character" w:customStyle="1" w:styleId="FootnoteTextChar">
    <w:name w:val="Footnote Text Char"/>
    <w:basedOn w:val="DefaultParagraphFont"/>
    <w:link w:val="FootnoteText"/>
    <w:uiPriority w:val="99"/>
    <w:rsid w:val="000D2E70"/>
    <w:rPr>
      <w:sz w:val="20"/>
      <w:szCs w:val="20"/>
    </w:rPr>
  </w:style>
  <w:style w:type="character" w:styleId="FootnoteReference">
    <w:name w:val="footnote reference"/>
    <w:basedOn w:val="DefaultParagraphFont"/>
    <w:uiPriority w:val="99"/>
    <w:semiHidden/>
    <w:unhideWhenUsed/>
    <w:rsid w:val="000D2E70"/>
    <w:rPr>
      <w:vertAlign w:val="superscript"/>
    </w:rPr>
  </w:style>
  <w:style w:type="paragraph" w:styleId="ListParagraph">
    <w:name w:val="List Paragraph"/>
    <w:basedOn w:val="Normal"/>
    <w:uiPriority w:val="34"/>
    <w:qFormat/>
    <w:rsid w:val="00B34B20"/>
    <w:pPr>
      <w:ind w:left="720"/>
      <w:contextualSpacing/>
    </w:pPr>
  </w:style>
  <w:style w:type="paragraph" w:styleId="NormalWeb">
    <w:name w:val="Normal (Web)"/>
    <w:basedOn w:val="Normal"/>
    <w:uiPriority w:val="99"/>
    <w:semiHidden/>
    <w:unhideWhenUsed/>
    <w:rsid w:val="009124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Strong">
    <w:name w:val="Strong"/>
    <w:basedOn w:val="DefaultParagraphFont"/>
    <w:uiPriority w:val="22"/>
    <w:qFormat/>
    <w:rsid w:val="00912430"/>
    <w:rPr>
      <w:b/>
      <w:bCs/>
    </w:rPr>
  </w:style>
  <w:style w:type="character" w:styleId="Emphasis">
    <w:name w:val="Emphasis"/>
    <w:basedOn w:val="DefaultParagraphFont"/>
    <w:uiPriority w:val="20"/>
    <w:qFormat/>
    <w:rsid w:val="00912430"/>
    <w:rPr>
      <w:i/>
      <w:iCs/>
    </w:rPr>
  </w:style>
  <w:style w:type="paragraph" w:styleId="Revision">
    <w:name w:val="Revision"/>
    <w:hidden/>
    <w:uiPriority w:val="99"/>
    <w:semiHidden/>
    <w:rsid w:val="00F767FE"/>
    <w:pPr>
      <w:spacing w:after="0" w:line="240" w:lineRule="auto"/>
    </w:pPr>
  </w:style>
  <w:style w:type="character" w:styleId="UnresolvedMention">
    <w:name w:val="Unresolved Mention"/>
    <w:basedOn w:val="DefaultParagraphFont"/>
    <w:uiPriority w:val="99"/>
    <w:semiHidden/>
    <w:unhideWhenUsed/>
    <w:rsid w:val="006A4AB7"/>
    <w:rPr>
      <w:color w:val="605E5C"/>
      <w:shd w:val="clear" w:color="auto" w:fill="E1DFDD"/>
    </w:rPr>
  </w:style>
  <w:style w:type="character" w:styleId="FollowedHyperlink">
    <w:name w:val="FollowedHyperlink"/>
    <w:basedOn w:val="DefaultParagraphFont"/>
    <w:uiPriority w:val="99"/>
    <w:semiHidden/>
    <w:unhideWhenUsed/>
    <w:rsid w:val="006A4AB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9447335">
      <w:bodyDiv w:val="1"/>
      <w:marLeft w:val="0"/>
      <w:marRight w:val="0"/>
      <w:marTop w:val="0"/>
      <w:marBottom w:val="0"/>
      <w:divBdr>
        <w:top w:val="none" w:sz="0" w:space="0" w:color="auto"/>
        <w:left w:val="none" w:sz="0" w:space="0" w:color="auto"/>
        <w:bottom w:val="none" w:sz="0" w:space="0" w:color="auto"/>
        <w:right w:val="none" w:sz="0" w:space="0" w:color="auto"/>
      </w:divBdr>
    </w:div>
    <w:div w:id="616715904">
      <w:bodyDiv w:val="1"/>
      <w:marLeft w:val="0"/>
      <w:marRight w:val="0"/>
      <w:marTop w:val="0"/>
      <w:marBottom w:val="0"/>
      <w:divBdr>
        <w:top w:val="none" w:sz="0" w:space="0" w:color="auto"/>
        <w:left w:val="none" w:sz="0" w:space="0" w:color="auto"/>
        <w:bottom w:val="none" w:sz="0" w:space="0" w:color="auto"/>
        <w:right w:val="none" w:sz="0" w:space="0" w:color="auto"/>
      </w:divBdr>
    </w:div>
    <w:div w:id="657075455">
      <w:bodyDiv w:val="1"/>
      <w:marLeft w:val="0"/>
      <w:marRight w:val="0"/>
      <w:marTop w:val="0"/>
      <w:marBottom w:val="0"/>
      <w:divBdr>
        <w:top w:val="none" w:sz="0" w:space="0" w:color="auto"/>
        <w:left w:val="none" w:sz="0" w:space="0" w:color="auto"/>
        <w:bottom w:val="none" w:sz="0" w:space="0" w:color="auto"/>
        <w:right w:val="none" w:sz="0" w:space="0" w:color="auto"/>
      </w:divBdr>
    </w:div>
    <w:div w:id="772439100">
      <w:bodyDiv w:val="1"/>
      <w:marLeft w:val="0"/>
      <w:marRight w:val="0"/>
      <w:marTop w:val="0"/>
      <w:marBottom w:val="0"/>
      <w:divBdr>
        <w:top w:val="none" w:sz="0" w:space="0" w:color="auto"/>
        <w:left w:val="none" w:sz="0" w:space="0" w:color="auto"/>
        <w:bottom w:val="none" w:sz="0" w:space="0" w:color="auto"/>
        <w:right w:val="none" w:sz="0" w:space="0" w:color="auto"/>
      </w:divBdr>
    </w:div>
    <w:div w:id="979114276">
      <w:bodyDiv w:val="1"/>
      <w:marLeft w:val="0"/>
      <w:marRight w:val="0"/>
      <w:marTop w:val="0"/>
      <w:marBottom w:val="0"/>
      <w:divBdr>
        <w:top w:val="none" w:sz="0" w:space="0" w:color="auto"/>
        <w:left w:val="none" w:sz="0" w:space="0" w:color="auto"/>
        <w:bottom w:val="none" w:sz="0" w:space="0" w:color="auto"/>
        <w:right w:val="none" w:sz="0" w:space="0" w:color="auto"/>
      </w:divBdr>
    </w:div>
    <w:div w:id="1203715937">
      <w:bodyDiv w:val="1"/>
      <w:marLeft w:val="0"/>
      <w:marRight w:val="0"/>
      <w:marTop w:val="0"/>
      <w:marBottom w:val="0"/>
      <w:divBdr>
        <w:top w:val="none" w:sz="0" w:space="0" w:color="auto"/>
        <w:left w:val="none" w:sz="0" w:space="0" w:color="auto"/>
        <w:bottom w:val="none" w:sz="0" w:space="0" w:color="auto"/>
        <w:right w:val="none" w:sz="0" w:space="0" w:color="auto"/>
      </w:divBdr>
    </w:div>
    <w:div w:id="1218512491">
      <w:bodyDiv w:val="1"/>
      <w:marLeft w:val="0"/>
      <w:marRight w:val="0"/>
      <w:marTop w:val="0"/>
      <w:marBottom w:val="0"/>
      <w:divBdr>
        <w:top w:val="none" w:sz="0" w:space="0" w:color="auto"/>
        <w:left w:val="none" w:sz="0" w:space="0" w:color="auto"/>
        <w:bottom w:val="none" w:sz="0" w:space="0" w:color="auto"/>
        <w:right w:val="none" w:sz="0" w:space="0" w:color="auto"/>
      </w:divBdr>
    </w:div>
    <w:div w:id="1657370179">
      <w:bodyDiv w:val="1"/>
      <w:marLeft w:val="0"/>
      <w:marRight w:val="0"/>
      <w:marTop w:val="0"/>
      <w:marBottom w:val="0"/>
      <w:divBdr>
        <w:top w:val="none" w:sz="0" w:space="0" w:color="auto"/>
        <w:left w:val="none" w:sz="0" w:space="0" w:color="auto"/>
        <w:bottom w:val="none" w:sz="0" w:space="0" w:color="auto"/>
        <w:right w:val="none" w:sz="0" w:space="0" w:color="auto"/>
      </w:divBdr>
    </w:div>
    <w:div w:id="2074961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notes.xml.rels><?xml version='1.0' encoding='UTF-8' standalone='yes'?>
<Relationships xmlns="http://schemas.openxmlformats.org/package/2006/relationships"><Relationship Id="rId2" Type="http://schemas.openxmlformats.org/officeDocument/2006/relationships/hyperlink" Target="https://www.anbima.com.br/data/files/B4/B2/98/EF/642085106351AF7569A80AC2/Cartilha_da_Nova_Classificacao_de_Fundos_1_.pdf" TargetMode="External"/><Relationship Id="rId1" Type="http://schemas.openxmlformats.org/officeDocument/2006/relationships/hyperlink" Target="https://www.investopedia.com/articles/investing/102113/what-are-hedge-funds.asp"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3CCE00F83678647808AC2407D71CC8A" ma:contentTypeVersion="17" ma:contentTypeDescription="Criar um novo documento." ma:contentTypeScope="" ma:versionID="cfe43bb653c9bcb7e8a9a7fb027022c7">
  <xsd:schema xmlns:xsd="http://www.w3.org/2001/XMLSchema" xmlns:xs="http://www.w3.org/2001/XMLSchema" xmlns:p="http://schemas.microsoft.com/office/2006/metadata/properties" xmlns:ns2="e2c6381c-3af3-4213-b177-249b95dca404" xmlns:ns3="6f30a715-8044-45dd-9f5d-fea8e245fbbc" targetNamespace="http://schemas.microsoft.com/office/2006/metadata/properties" ma:root="true" ma:fieldsID="2b3b15ff381f47be3fcb9822582ddcb4" ns2:_="" ns3:_="">
    <xsd:import namespace="e2c6381c-3af3-4213-b177-249b95dca404"/>
    <xsd:import namespace="6f30a715-8044-45dd-9f5d-fea8e245fbb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3:TaxCatchAll"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c6381c-3af3-4213-b177-249b95dca4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m" ma:readOnly="false" ma:fieldId="{5cf76f15-5ced-4ddc-b409-7134ff3c332f}" ma:taxonomyMulti="true" ma:sspId="cf2f7801-0b78-43b4-b8ac-2d21b0e7c38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f30a715-8044-45dd-9f5d-fea8e245fbb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ceda74a-8dc9-44ff-8e24-7228def1dee9}" ma:internalName="TaxCatchAll" ma:showField="CatchAllData" ma:web="6f30a715-8044-45dd-9f5d-fea8e245fbbc">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Detalhes de 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2c6381c-3af3-4213-b177-249b95dca404">
      <Terms xmlns="http://schemas.microsoft.com/office/infopath/2007/PartnerControls"/>
    </lcf76f155ced4ddcb4097134ff3c332f>
    <TaxCatchAll xmlns="6f30a715-8044-45dd-9f5d-fea8e245fbbc" xsi:nil="true"/>
  </documentManagement>
</p:properties>
</file>

<file path=customXml/itemProps1.xml><?xml version="1.0" encoding="utf-8"?>
<ds:datastoreItem xmlns:ds="http://schemas.openxmlformats.org/officeDocument/2006/customXml" ds:itemID="{8BAC1D4E-6722-4291-879F-36E402B90920}">
  <ds:schemaRefs>
    <ds:schemaRef ds:uri="http://schemas.openxmlformats.org/officeDocument/2006/bibliography"/>
  </ds:schemaRefs>
</ds:datastoreItem>
</file>

<file path=customXml/itemProps2.xml><?xml version="1.0" encoding="utf-8"?>
<ds:datastoreItem xmlns:ds="http://schemas.openxmlformats.org/officeDocument/2006/customXml" ds:itemID="{D3C15760-E836-4E35-8BCD-C22FDEADF5DD}">
  <ds:schemaRefs>
    <ds:schemaRef ds:uri="http://schemas.microsoft.com/sharepoint/v3/contenttype/forms"/>
  </ds:schemaRefs>
</ds:datastoreItem>
</file>

<file path=customXml/itemProps3.xml><?xml version="1.0" encoding="utf-8"?>
<ds:datastoreItem xmlns:ds="http://schemas.openxmlformats.org/officeDocument/2006/customXml" ds:itemID="{0CA01805-A1D2-4DC0-B4F8-31DE624F26B6}"/>
</file>

<file path=customXml/itemProps4.xml><?xml version="1.0" encoding="utf-8"?>
<ds:datastoreItem xmlns:ds="http://schemas.openxmlformats.org/officeDocument/2006/customXml" ds:itemID="{D6D840B9-2F9B-424D-AC3B-37D84640E5BC}">
  <ds:schemaRefs>
    <ds:schemaRef ds:uri="http://schemas.microsoft.com/office/2006/metadata/properties"/>
    <ds:schemaRef ds:uri="http://schemas.microsoft.com/office/infopath/2007/PartnerControls"/>
    <ds:schemaRef ds:uri="e2c6381c-3af3-4213-b177-249b95dca404"/>
    <ds:schemaRef ds:uri="6f30a715-8044-45dd-9f5d-fea8e245fbbc"/>
  </ds:schemaRefs>
</ds:datastoreItem>
</file>

<file path=docProps/app.xml><?xml version="1.0" encoding="utf-8"?>
<Properties xmlns="http://schemas.openxmlformats.org/officeDocument/2006/extended-properties" xmlns:vt="http://schemas.openxmlformats.org/officeDocument/2006/docPropsVTypes">
  <Template>Normal.dotm</Template>
  <TotalTime>881</TotalTime>
  <Pages>1</Pages>
  <Words>4005</Words>
  <Characters>22829</Characters>
  <Application>Microsoft Office Word</Application>
  <DocSecurity>4</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26781</CharactersWithSpaces>
  <SharedDoc>false</SharedDoc>
  <HLinks>
    <vt:vector size="12" baseType="variant">
      <vt:variant>
        <vt:i4>2031741</vt:i4>
      </vt:variant>
      <vt:variant>
        <vt:i4>3</vt:i4>
      </vt:variant>
      <vt:variant>
        <vt:i4>0</vt:i4>
      </vt:variant>
      <vt:variant>
        <vt:i4>5</vt:i4>
      </vt:variant>
      <vt:variant>
        <vt:lpwstr>https://www.anbima.com.br/data/files/B4/B2/98/EF/642085106351AF7569A80AC2/Cartilha_da_Nova_Classificacao_de_Fundos_1_.pdf</vt:lpwstr>
      </vt:variant>
      <vt:variant>
        <vt:lpwstr/>
      </vt:variant>
      <vt:variant>
        <vt:i4>8060977</vt:i4>
      </vt:variant>
      <vt:variant>
        <vt:i4>0</vt:i4>
      </vt:variant>
      <vt:variant>
        <vt:i4>0</vt:i4>
      </vt:variant>
      <vt:variant>
        <vt:i4>5</vt:i4>
      </vt:variant>
      <vt:variant>
        <vt:lpwstr>https://www.investopedia.com/articles/investing/102113/what-are-hedge-funds.asp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Fernando Lopes</dc:creator>
  <cp:keywords/>
  <dc:description/>
  <cp:lastModifiedBy>Luiz Fernando Lopes</cp:lastModifiedBy>
  <cp:revision>760</cp:revision>
  <dcterms:created xsi:type="dcterms:W3CDTF">2023-11-01T05:52:00Z</dcterms:created>
  <dcterms:modified xsi:type="dcterms:W3CDTF">2023-12-21T22:16:00Z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0x01010043CCE00F83678647808AC2407D71CC8A</vt:lpwstr>
  </property>
  <property fmtid="{D5CDD505-2E9C-101B-9397-08002B2CF9AE}" pid="3" name="MediaServiceImageTags">
    <vt:lpwstr/>
  </property>
</Properties>
</file>