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3CF0A" w14:textId="77777777" w:rsidR="0060282C" w:rsidRPr="006D455A" w:rsidRDefault="0060282C" w:rsidP="006D455A">
      <w:pPr>
        <w:pStyle w:val="Heading1"/>
        <w:jc w:val="both"/>
        <w:rPr>
          <w:rFonts w:asciiTheme="minorHAnsi" w:hAnsiTheme="minorHAnsi" w:cstheme="minorHAnsi"/>
          <w:sz w:val="46"/>
          <w:szCs w:val="46"/>
        </w:rPr>
      </w:pPr>
      <w:r w:rsidRPr="006D455A">
        <w:rPr>
          <w:rFonts w:asciiTheme="minorHAnsi" w:hAnsiTheme="minorHAnsi" w:cstheme="minorHAnsi"/>
          <w:sz w:val="46"/>
          <w:szCs w:val="46"/>
        </w:rPr>
        <w:t>Critérios de Seleção de Fundos de Crédito Privado High Grade</w:t>
      </w:r>
    </w:p>
    <w:p w14:paraId="5BF193DF" w14:textId="319A18D1" w:rsidR="0060282C" w:rsidRPr="006D455A" w:rsidRDefault="0060282C" w:rsidP="006D455A">
      <w:pPr>
        <w:jc w:val="both"/>
        <w:rPr>
          <w:rFonts w:asciiTheme="minorHAnsi" w:hAnsiTheme="minorHAnsi" w:cstheme="minorHAnsi"/>
        </w:rPr>
      </w:pPr>
      <w:r w:rsidRPr="006D455A">
        <w:rPr>
          <w:rFonts w:asciiTheme="minorHAnsi" w:hAnsiTheme="minorHAnsi" w:cstheme="minorHAnsi"/>
        </w:rPr>
        <w:t>Luiz Fernando Lopes</w:t>
      </w:r>
    </w:p>
    <w:p w14:paraId="105AA1AE" w14:textId="255852DF" w:rsidR="0060282C" w:rsidRPr="006D455A" w:rsidRDefault="0060282C" w:rsidP="006D455A">
      <w:pPr>
        <w:jc w:val="both"/>
        <w:rPr>
          <w:rFonts w:asciiTheme="minorHAnsi" w:hAnsiTheme="minorHAnsi" w:cstheme="minorHAnsi"/>
        </w:rPr>
      </w:pPr>
      <w:r w:rsidRPr="006D455A">
        <w:rPr>
          <w:rFonts w:asciiTheme="minorHAnsi" w:hAnsiTheme="minorHAnsi" w:cstheme="minorHAnsi"/>
        </w:rPr>
        <w:t>Outubro de 2026</w:t>
      </w:r>
    </w:p>
    <w:p w14:paraId="7FF94B07" w14:textId="177EED4C" w:rsidR="0060282C" w:rsidRPr="006D455A" w:rsidRDefault="0060282C" w:rsidP="006D455A">
      <w:pPr>
        <w:pStyle w:val="Heading1"/>
        <w:numPr>
          <w:ilvl w:val="0"/>
          <w:numId w:val="16"/>
        </w:numPr>
        <w:rPr>
          <w:rFonts w:asciiTheme="minorHAnsi" w:hAnsiTheme="minorHAnsi" w:cstheme="minorHAnsi"/>
        </w:rPr>
      </w:pPr>
      <w:r w:rsidRPr="006D455A">
        <w:rPr>
          <w:rFonts w:asciiTheme="minorHAnsi" w:hAnsiTheme="minorHAnsi" w:cstheme="minorHAnsi"/>
        </w:rPr>
        <w:t xml:space="preserve">Síntese </w:t>
      </w:r>
    </w:p>
    <w:p w14:paraId="19C03BF0"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Esta deliberação não aprova automaticamente nenhum produto para investimento, não define alocação e não dispensa uma proposta específica ao comitê após a análise de carteira, gestora, liquidez, custos efetivos e adequação ao portfólio.</w:t>
      </w:r>
    </w:p>
    <w:p w14:paraId="7EC82B58"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 xml:space="preserve">A rodada mais recente contém 53 fundos cadastrados; 47 têm os 36 meses completos e comparáveis exigidos pelo modelo. Entre os elegíveis, 9 obtiveram aprovação quantitativa com margem, 12 ficaram na fronteira, 24 não foram aprovados quantitativamente e 2 tiveram </w:t>
      </w:r>
      <w:proofErr w:type="spellStart"/>
      <w:r w:rsidRPr="006D455A">
        <w:rPr>
          <w:rFonts w:asciiTheme="minorHAnsi" w:hAnsiTheme="minorHAnsi" w:cstheme="minorHAnsi"/>
        </w:rPr>
        <w:t>red</w:t>
      </w:r>
      <w:proofErr w:type="spellEnd"/>
      <w:r w:rsidRPr="006D455A">
        <w:rPr>
          <w:rFonts w:asciiTheme="minorHAnsi" w:hAnsiTheme="minorHAnsi" w:cstheme="minorHAnsi"/>
        </w:rPr>
        <w:t xml:space="preserve"> flag absoluto. Assim, 21 fundos formam a prioridade inicial de diligência. Os resultados refletem dados disponíveis até 18 de setembro de 2026 e janela encerrada em agosto de 2026; não são atributos permanentes dos fundos.</w:t>
      </w:r>
    </w:p>
    <w:p w14:paraId="6033C1E8" w14:textId="77777777" w:rsidR="0060282C" w:rsidRPr="006D455A" w:rsidRDefault="0060282C" w:rsidP="006D455A">
      <w:pPr>
        <w:jc w:val="both"/>
        <w:rPr>
          <w:rFonts w:asciiTheme="minorHAnsi" w:hAnsiTheme="minorHAnsi" w:cstheme="minorHAnsi"/>
          <w:b/>
          <w:bCs/>
        </w:rPr>
      </w:pPr>
      <w:r w:rsidRPr="006D455A">
        <w:rPr>
          <w:rFonts w:asciiTheme="minorHAnsi" w:hAnsiTheme="minorHAnsi" w:cstheme="minorHAnsi"/>
          <w:b/>
          <w:bCs/>
        </w:rPr>
        <w:t>A principal contribuição do método é criar uma linguagem comum para comparar históricos, expor fragilidades e concentrar trabalho analítico onde ele pode mudar a decisão. O ranking é um instrumento de triagem, não uma ordem de compra.</w:t>
      </w:r>
    </w:p>
    <w:p w14:paraId="3CA2D3B3" w14:textId="61EAE9D8" w:rsidR="0060282C" w:rsidRPr="006D455A" w:rsidRDefault="0060282C" w:rsidP="006D455A">
      <w:pPr>
        <w:pStyle w:val="Heading1"/>
        <w:numPr>
          <w:ilvl w:val="0"/>
          <w:numId w:val="16"/>
        </w:numPr>
        <w:jc w:val="both"/>
        <w:rPr>
          <w:rFonts w:asciiTheme="minorHAnsi" w:hAnsiTheme="minorHAnsi" w:cstheme="minorHAnsi"/>
        </w:rPr>
      </w:pPr>
      <w:r w:rsidRPr="006D455A">
        <w:rPr>
          <w:rFonts w:asciiTheme="minorHAnsi" w:hAnsiTheme="minorHAnsi" w:cstheme="minorHAnsi"/>
        </w:rPr>
        <w:t>Problema de investimento e desenho da solução</w:t>
      </w:r>
    </w:p>
    <w:p w14:paraId="4DA03B84"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Fundos líquidos de crédito privado high grade podem mostrar retorno persistentemente próximo ao CDI e baixa volatilidade observada. Isso não basta para distingui-los: perdas tendem a ser assimétricas e concentradas, a marcação dos ativos pode suavizar cotas, custos alteram o retorno do cotista e dois fundos com boas notas podem representar o mesmo risco econômico. Comparar apenas retorno acumulado mistura qualidade, idade da série e condições de mercado distintas.</w:t>
      </w:r>
    </w:p>
    <w:p w14:paraId="1718075B"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 xml:space="preserve">Por isso a seleção separa quatro perguntas. Primeiro, existe uma série íntegra e comparável? </w:t>
      </w:r>
      <w:proofErr w:type="gramStart"/>
      <w:r w:rsidRPr="006D455A">
        <w:rPr>
          <w:rFonts w:asciiTheme="minorHAnsi" w:hAnsiTheme="minorHAnsi" w:cstheme="minorHAnsi"/>
        </w:rPr>
        <w:t>Segundo, qual</w:t>
      </w:r>
      <w:proofErr w:type="gramEnd"/>
      <w:r w:rsidRPr="006D455A">
        <w:rPr>
          <w:rFonts w:asciiTheme="minorHAnsi" w:hAnsiTheme="minorHAnsi" w:cstheme="minorHAnsi"/>
        </w:rPr>
        <w:t xml:space="preserve"> foi a qualidade individual do resultado líquido sobre o CDI, considerando retorno, consistência, risco e custo observável? Terceiro, o comportamento do candidato se parece com o de algum fundo cadastrado na carteira atual? Quarto, carteira, gestora e condições comerciais sustentam a tese? Só a segunda pergunta produz a nota. A terceira gera um alerta de possível redundância; não mede contribuição marginal ao portfólio. A diligência permanece fora do score.</w:t>
      </w:r>
    </w:p>
    <w:p w14:paraId="0FDEDDB7"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A análise econômica prospectiva, incluindo carrego, performance, rebate e taxa total para o cliente, foi mantida como uma etapa posterior. É relevante para a decisão, mas depende de premissas e interpretação contratual que não são verificáveis com a mesma uniformidade em todo o universo. Antecipá-la no score criaria uma precisão aparente e poderia comparar suposições, não fundos.</w:t>
      </w:r>
    </w:p>
    <w:p w14:paraId="73EC7D09" w14:textId="0C19E601" w:rsidR="0060282C" w:rsidRPr="006D455A" w:rsidRDefault="0060282C" w:rsidP="006D455A">
      <w:pPr>
        <w:pStyle w:val="Heading1"/>
        <w:numPr>
          <w:ilvl w:val="0"/>
          <w:numId w:val="16"/>
        </w:numPr>
        <w:jc w:val="both"/>
        <w:rPr>
          <w:rFonts w:asciiTheme="minorHAnsi" w:hAnsiTheme="minorHAnsi" w:cstheme="minorHAnsi"/>
        </w:rPr>
      </w:pPr>
      <w:r w:rsidRPr="006D455A">
        <w:rPr>
          <w:rFonts w:asciiTheme="minorHAnsi" w:hAnsiTheme="minorHAnsi" w:cstheme="minorHAnsi"/>
        </w:rPr>
        <w:t>Base comparável e métricas</w:t>
      </w:r>
    </w:p>
    <w:p w14:paraId="5285AE04"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O score observa 36 meses completos, encerrados e comuns. O CDI define o calendário; um mês só é aceito se a sequência de cotas estiver observada, com a quantidade esperada de datas e intervalos estritamente de um dia útil. Fundos com histórico insuficiente ou lacunas não recebem nota, mas permanecem visíveis no diagnóstico. A regra evita que uma janela mais favorável ou uma cota ausente distorça a comparação.</w:t>
      </w:r>
    </w:p>
    <w:p w14:paraId="6D71B115"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O CDI é a referência econômica do score: mede o que o cotista recebeu além da alternativa básica de renda fixa no mesmo período. As cotas ajustadas fornecem o retorno líquido observado do fundo. IDA-DI, IDA LIQ-DI e IRF-M 1 ajudam a interpretar estilo e afinidade, mas não substituem o CDI na pontuação. O histórico anterior à janela comum pode enriquecer o diagnóstico, sem contaminar a nota.</w:t>
      </w:r>
    </w:p>
    <w:p w14:paraId="3DA36678" w14:textId="77777777" w:rsidR="0060282C" w:rsidRPr="006D455A" w:rsidRDefault="0060282C" w:rsidP="006D455A">
      <w:pPr>
        <w:pStyle w:val="Heading2"/>
        <w:jc w:val="both"/>
        <w:rPr>
          <w:rFonts w:asciiTheme="minorHAnsi" w:hAnsiTheme="minorHAnsi" w:cstheme="minorHAnsi"/>
        </w:rPr>
      </w:pPr>
      <w:r w:rsidRPr="006D455A">
        <w:rPr>
          <w:rFonts w:asciiTheme="minorHAnsi" w:hAnsiTheme="minorHAnsi" w:cstheme="minorHAnsi"/>
        </w:rPr>
        <w:t>As decisões sobre dados e referência</w:t>
      </w:r>
    </w:p>
    <w:p w14:paraId="409EDC8A"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 xml:space="preserve">O que fizemos: usamos o retorno da cota ajustada, e não uma reconstrução de carrego bruto. Por quê: esse é o resultado histórico efetivamente refletido para o cotista, após os custos que já reduziram o patrimônio do fundo. </w:t>
      </w:r>
    </w:p>
    <w:p w14:paraId="297F76E5" w14:textId="148E2D4A" w:rsidR="0060282C" w:rsidRPr="006D455A" w:rsidRDefault="0060282C" w:rsidP="006D455A">
      <w:pPr>
        <w:jc w:val="both"/>
        <w:rPr>
          <w:rFonts w:asciiTheme="minorHAnsi" w:hAnsiTheme="minorHAnsi" w:cstheme="minorHAnsi"/>
        </w:rPr>
      </w:pPr>
      <w:r w:rsidRPr="006D455A">
        <w:rPr>
          <w:rFonts w:asciiTheme="minorHAnsi" w:hAnsiTheme="minorHAnsi" w:cstheme="minorHAnsi"/>
        </w:rPr>
        <w:lastRenderedPageBreak/>
        <w:t>O que fizemos: fixamos uma janela de 36 meses comuns e completos. Por quê: comparar fundos em períodos diferentes confundiria habilidade com regime de mercado; usar apenas 12 meses tornaria a análise mais sensível ao momento recente, enquanto exigir histórico muito mais longo excluiria parcela maior do universo. O horizonte de 36 meses é uma escolha de equilíbrio entre comparabilidade, observações suficientes e cobertura. Ele não assegura que o próximo ciclo se parecerá com o anterior.</w:t>
      </w:r>
    </w:p>
    <w:p w14:paraId="1A010416"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O que fizemos: adotamos o CDI como referência principal e mantivemos os demais índices como diagnóstico. Por quê: o CDI representa a alternativa básica e a linguagem usual de retorno para essa alocação; IDA-DI, IDA LIQ-DI e IRF-M 1 ajudam a explicar a natureza das exposições, mas não são o mesmo objetivo econômico para todos os fundos. Misturá-los na nota poderia premiar ou punir estilo em vez da entrega ao investidor.</w:t>
      </w:r>
    </w:p>
    <w:p w14:paraId="3406921D"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 xml:space="preserve">O que fizemos: em cada mês, medimos o excesso relativo como (1 + retorno do </w:t>
      </w:r>
      <w:proofErr w:type="gramStart"/>
      <w:r w:rsidRPr="006D455A">
        <w:rPr>
          <w:rFonts w:asciiTheme="minorHAnsi" w:hAnsiTheme="minorHAnsi" w:cstheme="minorHAnsi"/>
        </w:rPr>
        <w:t>fundo)/</w:t>
      </w:r>
      <w:proofErr w:type="gramEnd"/>
      <w:r w:rsidRPr="006D455A">
        <w:rPr>
          <w:rFonts w:asciiTheme="minorHAnsi" w:hAnsiTheme="minorHAnsi" w:cstheme="minorHAnsi"/>
        </w:rPr>
        <w:t xml:space="preserve">(1 + retorno do CDI) − 1. Encadeamos os 36 excessos mensais e anualizamos o resultado por (1 + excesso </w:t>
      </w:r>
      <w:proofErr w:type="gramStart"/>
      <w:r w:rsidRPr="006D455A">
        <w:rPr>
          <w:rFonts w:asciiTheme="minorHAnsi" w:hAnsiTheme="minorHAnsi" w:cstheme="minorHAnsi"/>
        </w:rPr>
        <w:t>acumulado)^</w:t>
      </w:r>
      <w:proofErr w:type="gramEnd"/>
      <w:r w:rsidRPr="006D455A">
        <w:rPr>
          <w:rFonts w:asciiTheme="minorHAnsi" w:hAnsiTheme="minorHAnsi" w:cstheme="minorHAnsi"/>
        </w:rPr>
        <w:t>(12/36) − 1. Por quê: essa razão compara a evolução de um mesmo valor aplicado no fundo e no CDI, preservando a capitalização ao longo do período. A diferença simples entre retornos anualizados não é a mesma medida. O resultado expressa desempenho líquido relativo observado; não é o spread de crédito da carteira nem uma projeção de carrego.</w:t>
      </w:r>
    </w:p>
    <w:p w14:paraId="7B203F5E" w14:textId="073B748A" w:rsidR="0060282C" w:rsidRPr="006D455A" w:rsidRDefault="0060282C" w:rsidP="006D455A">
      <w:pPr>
        <w:pStyle w:val="Heading2"/>
        <w:jc w:val="both"/>
        <w:rPr>
          <w:rFonts w:asciiTheme="minorHAnsi" w:hAnsiTheme="minorHAnsi" w:cstheme="minorHAnsi"/>
        </w:rPr>
      </w:pPr>
      <w:r w:rsidRPr="006D455A">
        <w:rPr>
          <w:rFonts w:asciiTheme="minorHAnsi" w:hAnsiTheme="minorHAnsi" w:cstheme="minorHAnsi"/>
        </w:rPr>
        <w:t>P</w:t>
      </w:r>
      <w:r w:rsidR="00AB05E6" w:rsidRPr="006D455A">
        <w:rPr>
          <w:rFonts w:asciiTheme="minorHAnsi" w:hAnsiTheme="minorHAnsi" w:cstheme="minorHAnsi"/>
        </w:rPr>
        <w:t>i</w:t>
      </w:r>
      <w:r w:rsidRPr="006D455A">
        <w:rPr>
          <w:rFonts w:asciiTheme="minorHAnsi" w:hAnsiTheme="minorHAnsi" w:cstheme="minorHAnsi"/>
        </w:rPr>
        <w:t>lares</w:t>
      </w:r>
    </w:p>
    <w:tbl>
      <w:tblPr>
        <w:tblW w:w="0" w:type="auto"/>
        <w:jc w:val="center"/>
        <w:tblLayout w:type="fixed"/>
        <w:tblLook w:val="04A0" w:firstRow="1" w:lastRow="0" w:firstColumn="1" w:lastColumn="0" w:noHBand="0" w:noVBand="1"/>
      </w:tblPr>
      <w:tblGrid>
        <w:gridCol w:w="1584"/>
        <w:gridCol w:w="3240"/>
        <w:gridCol w:w="5544"/>
      </w:tblGrid>
      <w:tr w:rsidR="0060282C" w:rsidRPr="006D455A" w14:paraId="3F9EB3C4" w14:textId="77777777" w:rsidTr="008A4780">
        <w:trP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DEDED"/>
            <w:tcMar>
              <w:top w:w="80" w:type="dxa"/>
              <w:left w:w="80" w:type="dxa"/>
              <w:bottom w:w="80" w:type="dxa"/>
              <w:right w:w="80" w:type="dxa"/>
            </w:tcMar>
            <w:vAlign w:val="center"/>
          </w:tcPr>
          <w:p w14:paraId="1F2BFB60"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b/>
                <w:sz w:val="18"/>
              </w:rPr>
              <w:t>Pilar e peso</w:t>
            </w:r>
          </w:p>
        </w:tc>
        <w:tc>
          <w:tcPr>
            <w:tcW w:w="3240" w:type="dxa"/>
            <w:tcBorders>
              <w:top w:val="single" w:sz="4" w:space="0" w:color="D9D9D9"/>
              <w:left w:val="single" w:sz="4" w:space="0" w:color="D9D9D9"/>
              <w:bottom w:val="single" w:sz="4" w:space="0" w:color="D9D9D9"/>
              <w:right w:val="single" w:sz="4" w:space="0" w:color="D9D9D9"/>
            </w:tcBorders>
            <w:shd w:val="clear" w:color="auto" w:fill="EDEDED"/>
            <w:tcMar>
              <w:top w:w="80" w:type="dxa"/>
              <w:left w:w="80" w:type="dxa"/>
              <w:bottom w:w="80" w:type="dxa"/>
              <w:right w:w="80" w:type="dxa"/>
            </w:tcMar>
            <w:vAlign w:val="center"/>
          </w:tcPr>
          <w:p w14:paraId="75576006"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b/>
                <w:sz w:val="18"/>
              </w:rPr>
              <w:t>O que responde</w:t>
            </w:r>
          </w:p>
        </w:tc>
        <w:tc>
          <w:tcPr>
            <w:tcW w:w="5544" w:type="dxa"/>
            <w:tcBorders>
              <w:top w:val="single" w:sz="4" w:space="0" w:color="D9D9D9"/>
              <w:left w:val="single" w:sz="4" w:space="0" w:color="D9D9D9"/>
              <w:bottom w:val="single" w:sz="4" w:space="0" w:color="D9D9D9"/>
              <w:right w:val="single" w:sz="4" w:space="0" w:color="D9D9D9"/>
            </w:tcBorders>
            <w:shd w:val="clear" w:color="auto" w:fill="EDEDED"/>
            <w:tcMar>
              <w:top w:w="80" w:type="dxa"/>
              <w:left w:w="80" w:type="dxa"/>
              <w:bottom w:w="80" w:type="dxa"/>
              <w:right w:w="80" w:type="dxa"/>
            </w:tcMar>
            <w:vAlign w:val="center"/>
          </w:tcPr>
          <w:p w14:paraId="340BB154"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b/>
                <w:sz w:val="18"/>
              </w:rPr>
              <w:t>Métricas e composição</w:t>
            </w:r>
          </w:p>
        </w:tc>
      </w:tr>
      <w:tr w:rsidR="0060282C" w:rsidRPr="006D455A" w14:paraId="7F90D3C1" w14:textId="77777777" w:rsidTr="008A4780">
        <w:trP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632E49"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Retorno 30%</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F37651"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Houve geração líquida de valor sobre CDI?</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0EEC6C"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Excesso anualizado sobre CDI.</w:t>
            </w:r>
          </w:p>
        </w:tc>
      </w:tr>
      <w:tr w:rsidR="0060282C" w:rsidRPr="006D455A" w14:paraId="6864702F" w14:textId="77777777" w:rsidTr="008A4780">
        <w:trP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8F8F8"/>
            <w:tcMar>
              <w:top w:w="80" w:type="dxa"/>
              <w:left w:w="80" w:type="dxa"/>
              <w:bottom w:w="80" w:type="dxa"/>
              <w:right w:w="80" w:type="dxa"/>
            </w:tcMar>
            <w:vAlign w:val="center"/>
          </w:tcPr>
          <w:p w14:paraId="7218A239"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Consistência 25%</w:t>
            </w:r>
          </w:p>
        </w:tc>
        <w:tc>
          <w:tcPr>
            <w:tcW w:w="3240" w:type="dxa"/>
            <w:tcBorders>
              <w:top w:val="single" w:sz="4" w:space="0" w:color="D9D9D9"/>
              <w:left w:val="single" w:sz="4" w:space="0" w:color="D9D9D9"/>
              <w:bottom w:val="single" w:sz="4" w:space="0" w:color="D9D9D9"/>
              <w:right w:val="single" w:sz="4" w:space="0" w:color="D9D9D9"/>
            </w:tcBorders>
            <w:shd w:val="clear" w:color="auto" w:fill="F8F8F8"/>
            <w:tcMar>
              <w:top w:w="80" w:type="dxa"/>
              <w:left w:w="80" w:type="dxa"/>
              <w:bottom w:w="80" w:type="dxa"/>
              <w:right w:w="80" w:type="dxa"/>
            </w:tcMar>
            <w:vAlign w:val="center"/>
          </w:tcPr>
          <w:p w14:paraId="36146283"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A geração foi recorrente ou episódica?</w:t>
            </w:r>
          </w:p>
        </w:tc>
        <w:tc>
          <w:tcPr>
            <w:tcW w:w="5544" w:type="dxa"/>
            <w:tcBorders>
              <w:top w:val="single" w:sz="4" w:space="0" w:color="D9D9D9"/>
              <w:left w:val="single" w:sz="4" w:space="0" w:color="D9D9D9"/>
              <w:bottom w:val="single" w:sz="4" w:space="0" w:color="D9D9D9"/>
              <w:right w:val="single" w:sz="4" w:space="0" w:color="D9D9D9"/>
            </w:tcBorders>
            <w:shd w:val="clear" w:color="auto" w:fill="F8F8F8"/>
            <w:tcMar>
              <w:top w:w="80" w:type="dxa"/>
              <w:left w:w="80" w:type="dxa"/>
              <w:bottom w:w="80" w:type="dxa"/>
              <w:right w:w="80" w:type="dxa"/>
            </w:tcMar>
            <w:vAlign w:val="center"/>
          </w:tcPr>
          <w:p>
            <w:r>
              <w:t>Hit rate mensal 20%; janelas de 6 meses 20%; janelas de 12 meses 60%.</w:t>
            </w:r>
          </w:p>
        </w:tc>
      </w:tr>
      <w:tr w:rsidR="0060282C" w:rsidRPr="006D455A" w14:paraId="04A970F8" w14:textId="77777777" w:rsidTr="008A4780">
        <w:trP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309F8D"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Risco 20%</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65D452"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Qual foi o custo das perdas relativas?</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8EF714"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Drawdown máximo do excesso 40%; média dos 3 piores meses 30%; volatilidade do excesso 30%.</w:t>
            </w:r>
          </w:p>
        </w:tc>
      </w:tr>
      <w:tr w:rsidR="0060282C" w:rsidRPr="006D455A" w14:paraId="1D9285AF" w14:textId="77777777" w:rsidTr="008A4780">
        <w:trP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8F8F8"/>
            <w:tcMar>
              <w:top w:w="80" w:type="dxa"/>
              <w:left w:w="80" w:type="dxa"/>
              <w:bottom w:w="80" w:type="dxa"/>
              <w:right w:w="80" w:type="dxa"/>
            </w:tcMar>
            <w:vAlign w:val="center"/>
          </w:tcPr>
          <w:p w14:paraId="735F7E22"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Custo 25%</w:t>
            </w:r>
          </w:p>
        </w:tc>
        <w:tc>
          <w:tcPr>
            <w:tcW w:w="3240" w:type="dxa"/>
            <w:tcBorders>
              <w:top w:val="single" w:sz="4" w:space="0" w:color="D9D9D9"/>
              <w:left w:val="single" w:sz="4" w:space="0" w:color="D9D9D9"/>
              <w:bottom w:val="single" w:sz="4" w:space="0" w:color="D9D9D9"/>
              <w:right w:val="single" w:sz="4" w:space="0" w:color="D9D9D9"/>
            </w:tcBorders>
            <w:shd w:val="clear" w:color="auto" w:fill="F8F8F8"/>
            <w:tcMar>
              <w:top w:w="80" w:type="dxa"/>
              <w:left w:w="80" w:type="dxa"/>
              <w:bottom w:w="80" w:type="dxa"/>
              <w:right w:w="80" w:type="dxa"/>
            </w:tcMar>
            <w:vAlign w:val="center"/>
          </w:tcPr>
          <w:p w14:paraId="3176C65A"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Quanto custa o resultado observado?</w:t>
            </w:r>
          </w:p>
        </w:tc>
        <w:tc>
          <w:tcPr>
            <w:tcW w:w="5544" w:type="dxa"/>
            <w:tcBorders>
              <w:top w:val="single" w:sz="4" w:space="0" w:color="D9D9D9"/>
              <w:left w:val="single" w:sz="4" w:space="0" w:color="D9D9D9"/>
              <w:bottom w:val="single" w:sz="4" w:space="0" w:color="D9D9D9"/>
              <w:right w:val="single" w:sz="4" w:space="0" w:color="D9D9D9"/>
            </w:tcBorders>
            <w:shd w:val="clear" w:color="auto" w:fill="F8F8F8"/>
            <w:tcMar>
              <w:top w:w="80" w:type="dxa"/>
              <w:left w:w="80" w:type="dxa"/>
              <w:bottom w:w="80" w:type="dxa"/>
              <w:right w:w="80" w:type="dxa"/>
            </w:tcMar>
            <w:vAlign w:val="center"/>
          </w:tcPr>
          <w:p w14:paraId="34A44908"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Taxa de administração 60%; excesso líquido dividido pela taxa 40%.</w:t>
            </w:r>
          </w:p>
        </w:tc>
      </w:tr>
    </w:tbl>
    <w:p w14:paraId="191F52E2" w14:textId="77777777" w:rsidR="0060282C" w:rsidRPr="006D455A" w:rsidRDefault="0060282C" w:rsidP="006D455A">
      <w:pPr>
        <w:jc w:val="both"/>
        <w:rPr>
          <w:rFonts w:asciiTheme="minorHAnsi" w:hAnsiTheme="minorHAnsi" w:cstheme="minorHAnsi"/>
        </w:rPr>
      </w:pPr>
    </w:p>
    <w:p w14:paraId="61BB6671" w14:textId="77777777" w:rsidR="0060282C" w:rsidRPr="006D455A" w:rsidRDefault="0060282C" w:rsidP="006D455A">
      <w:pPr>
        <w:jc w:val="both"/>
        <w:rPr>
          <w:rFonts w:asciiTheme="minorHAnsi" w:hAnsiTheme="minorHAnsi" w:cstheme="minorHAnsi"/>
        </w:rPr>
      </w:pPr>
      <w:r w:rsidRPr="003B4DEA">
        <w:rPr>
          <w:rFonts w:asciiTheme="minorHAnsi" w:hAnsiTheme="minorHAnsi" w:cstheme="minorHAnsi"/>
          <w:b/>
          <w:bCs/>
        </w:rPr>
        <w:t>A inclusão de retorno e custo em blocos separados foi intencional:</w:t>
      </w:r>
      <w:r w:rsidRPr="006D455A">
        <w:rPr>
          <w:rFonts w:asciiTheme="minorHAnsi" w:hAnsiTheme="minorHAnsi" w:cstheme="minorHAnsi"/>
        </w:rPr>
        <w:t xml:space="preserve"> o cotista avalia o que recebeu, mas também precisa saber quanta eficiência econômica foi obtida para a taxa cobrada. Há, contudo, sobreposição entre excesso líquido e a razão excesso/taxa. A correlação das respectivas notas nesta rodada é 0,75; por isso o bloco de custo deve ser lido como dimensão parcialmente dependente, não como informação inteiramente nova. A métrica tampouco substitui custo </w:t>
      </w:r>
      <w:proofErr w:type="spellStart"/>
      <w:r w:rsidRPr="006D455A">
        <w:rPr>
          <w:rFonts w:asciiTheme="minorHAnsi" w:hAnsiTheme="minorHAnsi" w:cstheme="minorHAnsi"/>
        </w:rPr>
        <w:t>all-in</w:t>
      </w:r>
      <w:proofErr w:type="spellEnd"/>
      <w:r w:rsidRPr="006D455A">
        <w:rPr>
          <w:rFonts w:asciiTheme="minorHAnsi" w:hAnsiTheme="minorHAnsi" w:cstheme="minorHAnsi"/>
        </w:rPr>
        <w:t xml:space="preserve"> ou rentabilidade prospectiva.</w:t>
      </w:r>
    </w:p>
    <w:p w14:paraId="6D55DBAF" w14:textId="77777777" w:rsidR="0060282C" w:rsidRPr="006D455A" w:rsidRDefault="0060282C" w:rsidP="006D455A">
      <w:pPr>
        <w:pStyle w:val="Heading2"/>
        <w:jc w:val="both"/>
        <w:rPr>
          <w:rFonts w:asciiTheme="minorHAnsi" w:hAnsiTheme="minorHAnsi" w:cstheme="minorHAnsi"/>
        </w:rPr>
      </w:pPr>
      <w:r w:rsidRPr="006D455A">
        <w:rPr>
          <w:rFonts w:asciiTheme="minorHAnsi" w:hAnsiTheme="minorHAnsi" w:cstheme="minorHAnsi"/>
        </w:rPr>
        <w:t>Por que estes quatro pilares</w:t>
      </w:r>
    </w:p>
    <w:p w14:paraId="11D9B23A"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Retorno. O que fizemos: medimos o excesso anualizado da cota sobre o CDI. Por quê: o prêmio líquido é a primeira evidência de valor para o cotista. Não bastaria, porém, ordenar fundos por esse número: um único intervalo favorável poderia esconder uma trajetória irregular ou riscos assumidos para obtê-lo.</w:t>
      </w:r>
    </w:p>
    <w:p w14:paraId="6797130A"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Consistência. O que fizemos: combinamos a proporção de meses acima do CDI com a de janelas móveis de seis e doze meses, todas contidas nos mesmos 36 meses comuns acima do CDI. Por quê: os três horizontes distinguem frequência de pequenas entregas, persistência intermediária e persistência em períodos de um ano. O horizonte mensal, sozinho, premiaria ganhos pequenos e frequentes mesmo que perdas raras anulassem o resultado. Janelas longas, sozinhas, esconderiam o caminho até o resultado. Os pesos internos 20/20/60 são uma escolha de desenho, não uma estimativa ótima.</w:t>
      </w:r>
    </w:p>
    <w:p w14:paraId="29C25AC6"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 xml:space="preserve">Risco. O que fizemos: combinamos </w:t>
      </w:r>
      <w:proofErr w:type="spellStart"/>
      <w:r w:rsidRPr="006D455A">
        <w:rPr>
          <w:rFonts w:asciiTheme="minorHAnsi" w:hAnsiTheme="minorHAnsi" w:cstheme="minorHAnsi"/>
        </w:rPr>
        <w:t>drawdown</w:t>
      </w:r>
      <w:proofErr w:type="spellEnd"/>
      <w:r w:rsidRPr="006D455A">
        <w:rPr>
          <w:rFonts w:asciiTheme="minorHAnsi" w:hAnsiTheme="minorHAnsi" w:cstheme="minorHAnsi"/>
        </w:rPr>
        <w:t xml:space="preserve"> do excesso acumulado, média dos três piores meses relativos e volatilidade do excesso. Por quê: a volatilidade de cotas high grade pode ser baixa por natureza do carrego ou por suavização de preços e, isoladamente, não descreve bem perdas concentradas. Drawdown captura profundidade da perda acumulada contra o CDI; os três piores meses capturam cauda observada sem depender de um único ponto; volatilidade registra instabilidade ordinária. O maior peso interno do </w:t>
      </w:r>
      <w:proofErr w:type="spellStart"/>
      <w:r w:rsidRPr="006D455A">
        <w:rPr>
          <w:rFonts w:asciiTheme="minorHAnsi" w:hAnsiTheme="minorHAnsi" w:cstheme="minorHAnsi"/>
        </w:rPr>
        <w:t>drawdown</w:t>
      </w:r>
      <w:proofErr w:type="spellEnd"/>
      <w:r w:rsidRPr="006D455A">
        <w:rPr>
          <w:rFonts w:asciiTheme="minorHAnsi" w:hAnsiTheme="minorHAnsi" w:cstheme="minorHAnsi"/>
        </w:rPr>
        <w:t xml:space="preserve"> (40%) enfatiza a experiência de recuperação do investidor, sem tratar essas métricas como riscos de crédito completos.</w:t>
      </w:r>
    </w:p>
    <w:p w14:paraId="2021263D"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 xml:space="preserve">Custo. O que fizemos: pontuamos a taxa de administração conhecida e a razão entre excesso líquido e essa taxa. Por quê: em uma classe de prêmios esperados modestos, custo recorrente pode consumir parte relevante do valor gerado, e taxa baixa só é atraente se vier acompanhada de resultado. A combinação evita ordenar exclusivamente por taxa. Ela permanece </w:t>
      </w:r>
      <w:r w:rsidRPr="006D455A">
        <w:rPr>
          <w:rFonts w:asciiTheme="minorHAnsi" w:hAnsiTheme="minorHAnsi" w:cstheme="minorHAnsi"/>
        </w:rPr>
        <w:lastRenderedPageBreak/>
        <w:t>incompleta: performance, rebate, taxa da casa, termos contratuais e carrego futuro não são uniformemente observáveis nessa etapa. A razão excesso/taxa também reutiliza retorno; por isso não a interpretamos como evidência independente.</w:t>
      </w:r>
    </w:p>
    <w:p w14:paraId="32C4B080" w14:textId="5899625E" w:rsidR="0060282C" w:rsidRPr="006D455A" w:rsidRDefault="0060282C" w:rsidP="006D455A">
      <w:pPr>
        <w:pStyle w:val="Heading1"/>
        <w:numPr>
          <w:ilvl w:val="0"/>
          <w:numId w:val="16"/>
        </w:numPr>
        <w:jc w:val="both"/>
        <w:rPr>
          <w:rFonts w:asciiTheme="minorHAnsi" w:hAnsiTheme="minorHAnsi" w:cstheme="minorHAnsi"/>
        </w:rPr>
      </w:pPr>
      <w:r w:rsidRPr="006D455A">
        <w:rPr>
          <w:rFonts w:asciiTheme="minorHAnsi" w:hAnsiTheme="minorHAnsi" w:cstheme="minorHAnsi"/>
        </w:rPr>
        <w:t>Por que mediana, MAD e z-score robusto</w:t>
      </w:r>
    </w:p>
    <w:p w14:paraId="3EB3FD23"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 xml:space="preserve">As métricas têm unidades diferentes: pontos percentuais de excesso, frequência de meses acima do CDI, </w:t>
      </w:r>
      <w:proofErr w:type="spellStart"/>
      <w:r w:rsidRPr="006D455A">
        <w:rPr>
          <w:rFonts w:asciiTheme="minorHAnsi" w:hAnsiTheme="minorHAnsi" w:cstheme="minorHAnsi"/>
        </w:rPr>
        <w:t>drawdown</w:t>
      </w:r>
      <w:proofErr w:type="spellEnd"/>
      <w:r w:rsidRPr="006D455A">
        <w:rPr>
          <w:rFonts w:asciiTheme="minorHAnsi" w:hAnsiTheme="minorHAnsi" w:cstheme="minorHAnsi"/>
        </w:rPr>
        <w:t xml:space="preserve"> e taxa. Somá-las diretamente seria arbitrário. Também não seria adequado usar apenas posições no ranking: dois fundos quase idênticos receberiam posições diferentes, enquanto uma diferença econômica grande poderia valer apenas uma posição. A solução adotada preserva a distância entre fundos e coloca cada métrica na escala comum de 0 a 100.</w:t>
      </w:r>
    </w:p>
    <w:p w14:paraId="1A02EB01"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O primeiro passo é localizar o fundo em relação ao centro da amostra elegível, medido pela mediana. O segundo é dividir essa distância por uma escala robusta, o desvio absoluto mediano ou MAD. Mediana e MAD foram escolhidos porque um número pequeno de observações extremas não desloca o centro e a escala tanto quanto média e desvio-padrão. Essa proteção é pertinente em um universo relativamente pequeno e heterogêneo, com possíveis caudas de eventos de crédito e taxas muito distintas. O fator 1,4826 apenas coloca o MAD em escala comparável à do desvio-padrão sob distribuição aproximadamente normal; não pressupõe que os dados sejam normais.</w:t>
      </w:r>
    </w:p>
    <w:p w14:paraId="7CFE3D2E"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 xml:space="preserve">O z-score assim obtido não é teste de significância nem probabilidade de desempenho futuro. Ele mede distância relativa ao centro da amostra da rodada. O sinal é invertido para métricas em que menor é melhor, como taxa, </w:t>
      </w:r>
      <w:proofErr w:type="spellStart"/>
      <w:r w:rsidRPr="006D455A">
        <w:rPr>
          <w:rFonts w:asciiTheme="minorHAnsi" w:hAnsiTheme="minorHAnsi" w:cstheme="minorHAnsi"/>
        </w:rPr>
        <w:t>drawdown</w:t>
      </w:r>
      <w:proofErr w:type="spellEnd"/>
      <w:r w:rsidRPr="006D455A">
        <w:rPr>
          <w:rFonts w:asciiTheme="minorHAnsi" w:hAnsiTheme="minorHAnsi" w:cstheme="minorHAnsi"/>
        </w:rPr>
        <w:t xml:space="preserve"> em magnitude de perda e volatilidade. Valores de z são limitados a −4 e +4 para impedir que um extremo domine a escala. Em seguida, uma função logística monotônica converte o resultado em nota: a mediana vale 50; resultados acima e abaixo recebem notas progressivamente maiores ou menores sem cortes bruscos.</w:t>
      </w:r>
    </w:p>
    <w:p w14:paraId="407E1A47"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A cadeia de escolha foi, portanto: métricas economicamente interpretáveis; janela igual para todos; normalização que resiste a extremos; escala contínua comparável; e só depois pesos e uma régua de decisão. Esse desenho melhora a disciplina comparativa, mas não elimina o caráter relativo do score. Entrada ou saída de um fundo, revisão de cota ou mudança de regime podem alterar as notas de todos, mesmo sem mudança no produto individual. Quando o MAD é zero, o cálculo recorre ao intervalo interquartil, depois ao desvio-padrão; se não houver diferenciação possível, atribui nota neutra 50.</w:t>
      </w:r>
    </w:p>
    <w:p w14:paraId="40C2E657" w14:textId="0F5F9E39" w:rsidR="0060282C" w:rsidRPr="006D455A" w:rsidRDefault="0060282C" w:rsidP="006D455A">
      <w:pPr>
        <w:pStyle w:val="Heading1"/>
        <w:numPr>
          <w:ilvl w:val="0"/>
          <w:numId w:val="16"/>
        </w:numPr>
        <w:jc w:val="both"/>
        <w:rPr>
          <w:rFonts w:asciiTheme="minorHAnsi" w:hAnsiTheme="minorHAnsi" w:cstheme="minorHAnsi"/>
        </w:rPr>
      </w:pPr>
      <w:r w:rsidRPr="006D455A">
        <w:rPr>
          <w:rFonts w:asciiTheme="minorHAnsi" w:hAnsiTheme="minorHAnsi" w:cstheme="minorHAnsi"/>
        </w:rPr>
        <w:t>Pesos e régua de decisão</w:t>
      </w:r>
    </w:p>
    <w:p w14:paraId="100B7B90"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Os pesos 30/25/20/25 exprimem uma preferência de investimento, não uma estimação estatística de “peso ótimo”. Retorno recebe a maior parcela porque superar o CDI é a finalidade econômica do mandato. Consistência tem peso próximo porque o processo busca recorrência, e não um único episódio favorável. Risco recebe 20% para registrar perdas relativas e dispersão sem permitir que baixa volatilidade observada seja confundida com ausência de risco de crédito. Custo recebe 25% porque pequenas taxas consomem parcela material do prêmio esperado em high grade. A manutenção desses pesos deve ser testada por sensibilidade, não ajustada após ver nomes específicos no ranking.</w:t>
      </w:r>
    </w:p>
    <w:p w14:paraId="239002A1"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O que fizemos: primeiro transformamos cada métrica em nota comparável; depois combinamos métricas dentro de cada pilar; só então aplicamos os pesos entre pilares. Por quê: essa ordem evita somar unidades incompatíveis e permite ver se uma nota final elevada resulta de desempenho equilibrado ou da compensação de um pilar fraco por outro forte. A nota de pilar é tão importante para a leitura quanto o score final.</w:t>
      </w:r>
    </w:p>
    <w:p w14:paraId="66C1A09E"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O que não fizemos: não estimamos pesos por regressão contra retornos futuros, não calibramos a régua para produzir um número predeterminado de aprovados e não incluímos correlação no score. Não havia uma variável-alvo futura confiável para otimizar pesos sem risco de ajuste à própria amostra. A finalidade é uma triagem disciplinada e explicável, sujeita a revisão; não um modelo preditivo de probabilidade de sucesso.</w:t>
      </w:r>
    </w:p>
    <w:p w14:paraId="2D3BCE34"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 xml:space="preserve">A régua combina nota final e salvaguardas. O corte central de 55 é acompanhado por uma fronteira de ±3 pontos para reduzir falsa precisão: diferenças pequenas perto do corte não devem produzir decisões binárias definitivas. A aprovação quantitativa com margem exige nota não arredondada de pelo menos 58, ausência de </w:t>
      </w:r>
      <w:proofErr w:type="spellStart"/>
      <w:r w:rsidRPr="006D455A">
        <w:rPr>
          <w:rFonts w:asciiTheme="minorHAnsi" w:hAnsiTheme="minorHAnsi" w:cstheme="minorHAnsi"/>
        </w:rPr>
        <w:t>red</w:t>
      </w:r>
      <w:proofErr w:type="spellEnd"/>
      <w:r w:rsidRPr="006D455A">
        <w:rPr>
          <w:rFonts w:asciiTheme="minorHAnsi" w:hAnsiTheme="minorHAnsi" w:cstheme="minorHAnsi"/>
        </w:rPr>
        <w:t xml:space="preserve"> flag absoluto e todos os pilares em pelo menos 30. Entre 52 e menos de 58, ou acima disso com algum pilar abaixo de 30, o fundo fica na zona cinzenta. Abaixo de 52, sem </w:t>
      </w:r>
      <w:proofErr w:type="spellStart"/>
      <w:r w:rsidRPr="006D455A">
        <w:rPr>
          <w:rFonts w:asciiTheme="minorHAnsi" w:hAnsiTheme="minorHAnsi" w:cstheme="minorHAnsi"/>
        </w:rPr>
        <w:t>red</w:t>
      </w:r>
      <w:proofErr w:type="spellEnd"/>
      <w:r w:rsidRPr="006D455A">
        <w:rPr>
          <w:rFonts w:asciiTheme="minorHAnsi" w:hAnsiTheme="minorHAnsi" w:cstheme="minorHAnsi"/>
        </w:rPr>
        <w:t xml:space="preserve"> flag, não há aprovação quantitativa.</w:t>
      </w:r>
    </w:p>
    <w:p w14:paraId="6A625D95"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 xml:space="preserve">Excesso anualizado líquido sobre CDI não positivo é </w:t>
      </w:r>
      <w:proofErr w:type="spellStart"/>
      <w:r w:rsidRPr="006D455A">
        <w:rPr>
          <w:rFonts w:asciiTheme="minorHAnsi" w:hAnsiTheme="minorHAnsi" w:cstheme="minorHAnsi"/>
        </w:rPr>
        <w:t>red</w:t>
      </w:r>
      <w:proofErr w:type="spellEnd"/>
      <w:r w:rsidRPr="006D455A">
        <w:rPr>
          <w:rFonts w:asciiTheme="minorHAnsi" w:hAnsiTheme="minorHAnsi" w:cstheme="minorHAnsi"/>
        </w:rPr>
        <w:t xml:space="preserve"> flag absoluto. A razão é econômica: na janela comum, não se demonstrou remuneração acima da referência central do mandato. Drawdown e cauda entre os 10% piores do universo são </w:t>
      </w:r>
      <w:r w:rsidRPr="006D455A">
        <w:rPr>
          <w:rFonts w:asciiTheme="minorHAnsi" w:hAnsiTheme="minorHAnsi" w:cstheme="minorHAnsi"/>
        </w:rPr>
        <w:lastRenderedPageBreak/>
        <w:t>alertas relativos, não vetos: sinalizam exatamente onde pedir explicações à gestora. Quartis são descritivos. Não há quota de aprovados, limite automático por cluster ou promoção por posição relativa.</w:t>
      </w:r>
    </w:p>
    <w:tbl>
      <w:tblPr>
        <w:tblW w:w="0" w:type="auto"/>
        <w:jc w:val="center"/>
        <w:tblLayout w:type="fixed"/>
        <w:tblLook w:val="04A0" w:firstRow="1" w:lastRow="0" w:firstColumn="1" w:lastColumn="0" w:noHBand="0" w:noVBand="1"/>
      </w:tblPr>
      <w:tblGrid>
        <w:gridCol w:w="2232"/>
        <w:gridCol w:w="4032"/>
        <w:gridCol w:w="4104"/>
      </w:tblGrid>
      <w:tr w:rsidR="0060282C" w:rsidRPr="006D455A" w14:paraId="44947BD4" w14:textId="77777777" w:rsidTr="008A4780">
        <w:trP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EDED"/>
            <w:tcMar>
              <w:top w:w="80" w:type="dxa"/>
              <w:left w:w="80" w:type="dxa"/>
              <w:bottom w:w="80" w:type="dxa"/>
              <w:right w:w="80" w:type="dxa"/>
            </w:tcMar>
            <w:vAlign w:val="center"/>
          </w:tcPr>
          <w:p w14:paraId="5AACFBE9"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b/>
                <w:sz w:val="18"/>
              </w:rPr>
              <w:t>Status quantitativo</w:t>
            </w:r>
          </w:p>
        </w:tc>
        <w:tc>
          <w:tcPr>
            <w:tcW w:w="4032" w:type="dxa"/>
            <w:tcBorders>
              <w:top w:val="single" w:sz="4" w:space="0" w:color="D9D9D9"/>
              <w:left w:val="single" w:sz="4" w:space="0" w:color="D9D9D9"/>
              <w:bottom w:val="single" w:sz="4" w:space="0" w:color="D9D9D9"/>
              <w:right w:val="single" w:sz="4" w:space="0" w:color="D9D9D9"/>
            </w:tcBorders>
            <w:shd w:val="clear" w:color="auto" w:fill="EDEDED"/>
            <w:tcMar>
              <w:top w:w="80" w:type="dxa"/>
              <w:left w:w="80" w:type="dxa"/>
              <w:bottom w:w="80" w:type="dxa"/>
              <w:right w:w="80" w:type="dxa"/>
            </w:tcMar>
            <w:vAlign w:val="center"/>
          </w:tcPr>
          <w:p w14:paraId="3949113B"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b/>
                <w:sz w:val="18"/>
              </w:rPr>
              <w:t>Regra</w:t>
            </w:r>
          </w:p>
        </w:tc>
        <w:tc>
          <w:tcPr>
            <w:tcW w:w="4104" w:type="dxa"/>
            <w:tcBorders>
              <w:top w:val="single" w:sz="4" w:space="0" w:color="D9D9D9"/>
              <w:left w:val="single" w:sz="4" w:space="0" w:color="D9D9D9"/>
              <w:bottom w:val="single" w:sz="4" w:space="0" w:color="D9D9D9"/>
              <w:right w:val="single" w:sz="4" w:space="0" w:color="D9D9D9"/>
            </w:tcBorders>
            <w:shd w:val="clear" w:color="auto" w:fill="EDEDED"/>
            <w:tcMar>
              <w:top w:w="80" w:type="dxa"/>
              <w:left w:w="80" w:type="dxa"/>
              <w:bottom w:w="80" w:type="dxa"/>
              <w:right w:w="80" w:type="dxa"/>
            </w:tcMar>
            <w:vAlign w:val="center"/>
          </w:tcPr>
          <w:p w14:paraId="4326DA60"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b/>
                <w:sz w:val="18"/>
              </w:rPr>
              <w:t>Uso na decisão</w:t>
            </w:r>
          </w:p>
        </w:tc>
      </w:tr>
      <w:tr w:rsidR="0060282C" w:rsidRPr="006D455A" w14:paraId="38618CAD" w14:textId="77777777" w:rsidTr="008A4780">
        <w:trP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5F3D86"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Aprovado com margem</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C7F86C"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 xml:space="preserve">Nota ≥ 58; sem </w:t>
            </w:r>
            <w:proofErr w:type="spellStart"/>
            <w:r w:rsidRPr="006D455A">
              <w:rPr>
                <w:rFonts w:asciiTheme="minorHAnsi" w:hAnsiTheme="minorHAnsi" w:cstheme="minorHAnsi"/>
                <w:sz w:val="18"/>
              </w:rPr>
              <w:t>red</w:t>
            </w:r>
            <w:proofErr w:type="spellEnd"/>
            <w:r w:rsidRPr="006D455A">
              <w:rPr>
                <w:rFonts w:asciiTheme="minorHAnsi" w:hAnsiTheme="minorHAnsi" w:cstheme="minorHAnsi"/>
                <w:sz w:val="18"/>
              </w:rPr>
              <w:t xml:space="preserve"> flag; todos os pilares ≥ 30.</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99230A9"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Prioridade de diligência, não autorização de investimento.</w:t>
            </w:r>
          </w:p>
        </w:tc>
      </w:tr>
      <w:tr w:rsidR="0060282C" w:rsidRPr="006D455A" w14:paraId="1AEEE436" w14:textId="77777777" w:rsidTr="008A4780">
        <w:trP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8F8F8"/>
            <w:tcMar>
              <w:top w:w="80" w:type="dxa"/>
              <w:left w:w="80" w:type="dxa"/>
              <w:bottom w:w="80" w:type="dxa"/>
              <w:right w:w="80" w:type="dxa"/>
            </w:tcMar>
            <w:vAlign w:val="center"/>
          </w:tcPr>
          <w:p w14:paraId="115E950E"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Fronteira</w:t>
            </w:r>
          </w:p>
        </w:tc>
        <w:tc>
          <w:tcPr>
            <w:tcW w:w="4032" w:type="dxa"/>
            <w:tcBorders>
              <w:top w:val="single" w:sz="4" w:space="0" w:color="D9D9D9"/>
              <w:left w:val="single" w:sz="4" w:space="0" w:color="D9D9D9"/>
              <w:bottom w:val="single" w:sz="4" w:space="0" w:color="D9D9D9"/>
              <w:right w:val="single" w:sz="4" w:space="0" w:color="D9D9D9"/>
            </w:tcBorders>
            <w:shd w:val="clear" w:color="auto" w:fill="F8F8F8"/>
            <w:tcMar>
              <w:top w:w="80" w:type="dxa"/>
              <w:left w:w="80" w:type="dxa"/>
              <w:bottom w:w="80" w:type="dxa"/>
              <w:right w:w="80" w:type="dxa"/>
            </w:tcMar>
            <w:vAlign w:val="center"/>
          </w:tcPr>
          <w:p w14:paraId="7488E325"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 xml:space="preserve">52 ≤ nota &lt; 58; ou nota ≥ 58 com pilar &lt; 30; sem </w:t>
            </w:r>
            <w:proofErr w:type="spellStart"/>
            <w:r w:rsidRPr="006D455A">
              <w:rPr>
                <w:rFonts w:asciiTheme="minorHAnsi" w:hAnsiTheme="minorHAnsi" w:cstheme="minorHAnsi"/>
                <w:sz w:val="18"/>
              </w:rPr>
              <w:t>red</w:t>
            </w:r>
            <w:proofErr w:type="spellEnd"/>
            <w:r w:rsidRPr="006D455A">
              <w:rPr>
                <w:rFonts w:asciiTheme="minorHAnsi" w:hAnsiTheme="minorHAnsi" w:cstheme="minorHAnsi"/>
                <w:sz w:val="18"/>
              </w:rPr>
              <w:t xml:space="preserve"> flag.</w:t>
            </w:r>
          </w:p>
        </w:tc>
        <w:tc>
          <w:tcPr>
            <w:tcW w:w="4104" w:type="dxa"/>
            <w:tcBorders>
              <w:top w:val="single" w:sz="4" w:space="0" w:color="D9D9D9"/>
              <w:left w:val="single" w:sz="4" w:space="0" w:color="D9D9D9"/>
              <w:bottom w:val="single" w:sz="4" w:space="0" w:color="D9D9D9"/>
              <w:right w:val="single" w:sz="4" w:space="0" w:color="D9D9D9"/>
            </w:tcBorders>
            <w:shd w:val="clear" w:color="auto" w:fill="F8F8F8"/>
            <w:tcMar>
              <w:top w:w="80" w:type="dxa"/>
              <w:left w:w="80" w:type="dxa"/>
              <w:bottom w:w="80" w:type="dxa"/>
              <w:right w:w="80" w:type="dxa"/>
            </w:tcMar>
            <w:vAlign w:val="center"/>
          </w:tcPr>
          <w:p w14:paraId="427EF0F6"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Investigar o motivo da dúvida e a robustez do caso.</w:t>
            </w:r>
          </w:p>
        </w:tc>
      </w:tr>
      <w:tr w:rsidR="0060282C" w:rsidRPr="006D455A" w14:paraId="2C63BD36" w14:textId="77777777" w:rsidTr="008A4780">
        <w:trP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B5B319"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Não aprovado</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A4AADD"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 xml:space="preserve">Nota &lt; 52, sem </w:t>
            </w:r>
            <w:proofErr w:type="spellStart"/>
            <w:r w:rsidRPr="006D455A">
              <w:rPr>
                <w:rFonts w:asciiTheme="minorHAnsi" w:hAnsiTheme="minorHAnsi" w:cstheme="minorHAnsi"/>
                <w:sz w:val="18"/>
              </w:rPr>
              <w:t>red</w:t>
            </w:r>
            <w:proofErr w:type="spellEnd"/>
            <w:r w:rsidRPr="006D455A">
              <w:rPr>
                <w:rFonts w:asciiTheme="minorHAnsi" w:hAnsiTheme="minorHAnsi" w:cstheme="minorHAnsi"/>
                <w:sz w:val="18"/>
              </w:rPr>
              <w:t xml:space="preserve"> flag.</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3B9F87"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Não priorizar na trilha padrão; exceção requer justificativa.</w:t>
            </w:r>
          </w:p>
        </w:tc>
      </w:tr>
      <w:tr w:rsidR="0060282C" w:rsidRPr="006D455A" w14:paraId="6F47FCD7" w14:textId="77777777" w:rsidTr="008A4780">
        <w:trP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8F8F8"/>
            <w:tcMar>
              <w:top w:w="80" w:type="dxa"/>
              <w:left w:w="80" w:type="dxa"/>
              <w:bottom w:w="80" w:type="dxa"/>
              <w:right w:w="80" w:type="dxa"/>
            </w:tcMar>
            <w:vAlign w:val="center"/>
          </w:tcPr>
          <w:p w14:paraId="095E78D1" w14:textId="77777777" w:rsidR="0060282C" w:rsidRPr="006D455A" w:rsidRDefault="0060282C" w:rsidP="006D455A">
            <w:pPr>
              <w:spacing w:after="0"/>
              <w:jc w:val="both"/>
              <w:rPr>
                <w:rFonts w:asciiTheme="minorHAnsi" w:hAnsiTheme="minorHAnsi" w:cstheme="minorHAnsi"/>
              </w:rPr>
            </w:pPr>
            <w:proofErr w:type="spellStart"/>
            <w:r w:rsidRPr="006D455A">
              <w:rPr>
                <w:rFonts w:asciiTheme="minorHAnsi" w:hAnsiTheme="minorHAnsi" w:cstheme="minorHAnsi"/>
                <w:sz w:val="18"/>
              </w:rPr>
              <w:t>Red</w:t>
            </w:r>
            <w:proofErr w:type="spellEnd"/>
            <w:r w:rsidRPr="006D455A">
              <w:rPr>
                <w:rFonts w:asciiTheme="minorHAnsi" w:hAnsiTheme="minorHAnsi" w:cstheme="minorHAnsi"/>
                <w:sz w:val="18"/>
              </w:rPr>
              <w:t xml:space="preserve"> flag absoluto</w:t>
            </w:r>
          </w:p>
        </w:tc>
        <w:tc>
          <w:tcPr>
            <w:tcW w:w="4032" w:type="dxa"/>
            <w:tcBorders>
              <w:top w:val="single" w:sz="4" w:space="0" w:color="D9D9D9"/>
              <w:left w:val="single" w:sz="4" w:space="0" w:color="D9D9D9"/>
              <w:bottom w:val="single" w:sz="4" w:space="0" w:color="D9D9D9"/>
              <w:right w:val="single" w:sz="4" w:space="0" w:color="D9D9D9"/>
            </w:tcBorders>
            <w:shd w:val="clear" w:color="auto" w:fill="F8F8F8"/>
            <w:tcMar>
              <w:top w:w="80" w:type="dxa"/>
              <w:left w:w="80" w:type="dxa"/>
              <w:bottom w:w="80" w:type="dxa"/>
              <w:right w:w="80" w:type="dxa"/>
            </w:tcMar>
            <w:vAlign w:val="center"/>
          </w:tcPr>
          <w:p w14:paraId="084DA63F"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Excesso anualizado sobre CDI ≤ 0.</w:t>
            </w:r>
          </w:p>
        </w:tc>
        <w:tc>
          <w:tcPr>
            <w:tcW w:w="4104" w:type="dxa"/>
            <w:tcBorders>
              <w:top w:val="single" w:sz="4" w:space="0" w:color="D9D9D9"/>
              <w:left w:val="single" w:sz="4" w:space="0" w:color="D9D9D9"/>
              <w:bottom w:val="single" w:sz="4" w:space="0" w:color="D9D9D9"/>
              <w:right w:val="single" w:sz="4" w:space="0" w:color="D9D9D9"/>
            </w:tcBorders>
            <w:shd w:val="clear" w:color="auto" w:fill="F8F8F8"/>
            <w:tcMar>
              <w:top w:w="80" w:type="dxa"/>
              <w:left w:w="80" w:type="dxa"/>
              <w:bottom w:w="80" w:type="dxa"/>
              <w:right w:w="80" w:type="dxa"/>
            </w:tcMar>
            <w:vAlign w:val="center"/>
          </w:tcPr>
          <w:p w14:paraId="25EF7AD5" w14:textId="77777777" w:rsidR="0060282C" w:rsidRPr="006D455A" w:rsidRDefault="0060282C" w:rsidP="006D455A">
            <w:pPr>
              <w:spacing w:after="0"/>
              <w:jc w:val="both"/>
              <w:rPr>
                <w:rFonts w:asciiTheme="minorHAnsi" w:hAnsiTheme="minorHAnsi" w:cstheme="minorHAnsi"/>
              </w:rPr>
            </w:pPr>
            <w:r w:rsidRPr="006D455A">
              <w:rPr>
                <w:rFonts w:asciiTheme="minorHAnsi" w:hAnsiTheme="minorHAnsi" w:cstheme="minorHAnsi"/>
                <w:sz w:val="18"/>
              </w:rPr>
              <w:t>Sem aprovação quantitativa, independentemente da nota.</w:t>
            </w:r>
          </w:p>
        </w:tc>
      </w:tr>
    </w:tbl>
    <w:p w14:paraId="37BBBE8A" w14:textId="77777777" w:rsidR="0060282C" w:rsidRPr="006D455A" w:rsidRDefault="0060282C" w:rsidP="006D455A">
      <w:pPr>
        <w:jc w:val="both"/>
        <w:rPr>
          <w:rFonts w:asciiTheme="minorHAnsi" w:hAnsiTheme="minorHAnsi" w:cstheme="minorHAnsi"/>
        </w:rPr>
      </w:pPr>
    </w:p>
    <w:p w14:paraId="3889867B" w14:textId="62459DAA" w:rsidR="0060282C" w:rsidRPr="006D455A" w:rsidRDefault="0060282C" w:rsidP="006D455A">
      <w:pPr>
        <w:pStyle w:val="Heading1"/>
        <w:numPr>
          <w:ilvl w:val="0"/>
          <w:numId w:val="16"/>
        </w:numPr>
        <w:jc w:val="both"/>
        <w:rPr>
          <w:rFonts w:asciiTheme="minorHAnsi" w:hAnsiTheme="minorHAnsi" w:cstheme="minorHAnsi"/>
        </w:rPr>
      </w:pPr>
      <w:r w:rsidRPr="006D455A">
        <w:rPr>
          <w:rFonts w:asciiTheme="minorHAnsi" w:hAnsiTheme="minorHAnsi" w:cstheme="minorHAnsi"/>
        </w:rPr>
        <w:t>Resultados da rodada</w:t>
      </w:r>
    </w:p>
    <w:p w14:paraId="0EF8E811"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 xml:space="preserve">A conciliação identificou os 53 fundos cadastrados. Seis ficaram fora do score por não satisfazerem a janela comum completa; </w:t>
      </w:r>
      <w:r w:rsidRPr="006D455A">
        <w:rPr>
          <w:rFonts w:asciiTheme="minorHAnsi" w:hAnsiTheme="minorHAnsi" w:cstheme="minorHAnsi"/>
          <w:b/>
          <w:bCs/>
        </w:rPr>
        <w:t>isso é inelegibilidade metodológica, não reprovação qualitativa.</w:t>
      </w:r>
      <w:r w:rsidRPr="006D455A">
        <w:rPr>
          <w:rFonts w:asciiTheme="minorHAnsi" w:hAnsiTheme="minorHAnsi" w:cstheme="minorHAnsi"/>
        </w:rPr>
        <w:t xml:space="preserve"> Entre os 47 elegíveis, a distribuição foi 9 aprovados com margem, 12 na fronteira, 24 não aprovados e 2 com </w:t>
      </w:r>
      <w:proofErr w:type="spellStart"/>
      <w:r w:rsidRPr="006D455A">
        <w:rPr>
          <w:rFonts w:asciiTheme="minorHAnsi" w:hAnsiTheme="minorHAnsi" w:cstheme="minorHAnsi"/>
        </w:rPr>
        <w:t>red</w:t>
      </w:r>
      <w:proofErr w:type="spellEnd"/>
      <w:r w:rsidRPr="006D455A">
        <w:rPr>
          <w:rFonts w:asciiTheme="minorHAnsi" w:hAnsiTheme="minorHAnsi" w:cstheme="minorHAnsi"/>
        </w:rPr>
        <w:t xml:space="preserve"> flag absoluto. A lista de 21 nomes para diligência é uma fila de trabalho.</w:t>
      </w:r>
    </w:p>
    <w:p w14:paraId="7DEB7D4F"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Aprovados com margem: Tivio Institucional 15; Daycoval Classic 30; BNP Paribas Rubi; SulAmérica Crédito ESG; SulAmérica Crédito Ativo; Compass Yield 30; BTG Pactual Crédito Corporativo I; Bocom BBM Corporate Credit II; e Porto Seguro Ipê.</w:t>
      </w:r>
      <w:proofErr w:type="spellStart"/>
      <w:r w:rsidRPr="006D455A">
        <w:rPr>
          <w:rFonts w:asciiTheme="minorHAnsi" w:hAnsiTheme="minorHAnsi" w:cstheme="minorHAnsi"/>
        </w:rPr>
      </w:r>
      <w:proofErr w:type="spellEnd"/>
      <w:r w:rsidRPr="006D455A">
        <w:rPr>
          <w:rFonts w:asciiTheme="minorHAnsi" w:hAnsiTheme="minorHAnsi" w:cstheme="minorHAnsi"/>
        </w:rPr>
      </w:r>
      <w:proofErr w:type="spellStart"/>
      <w:r w:rsidRPr="006D455A">
        <w:rPr>
          <w:rFonts w:asciiTheme="minorHAnsi" w:hAnsiTheme="minorHAnsi" w:cstheme="minorHAnsi"/>
        </w:rPr>
      </w:r>
      <w:proofErr w:type="spellEnd"/>
      <w:r w:rsidRPr="006D455A">
        <w:rPr>
          <w:rFonts w:asciiTheme="minorHAnsi" w:hAnsiTheme="minorHAnsi" w:cstheme="minorHAnsi"/>
        </w:rPr>
      </w:r>
      <w:proofErr w:type="spellStart"/>
      <w:r w:rsidRPr="006D455A">
        <w:rPr>
          <w:rFonts w:asciiTheme="minorHAnsi" w:hAnsiTheme="minorHAnsi" w:cstheme="minorHAnsi"/>
        </w:rPr>
      </w:r>
      <w:proofErr w:type="spellEnd"/>
      <w:r w:rsidRPr="006D455A">
        <w:rPr>
          <w:rFonts w:asciiTheme="minorHAnsi" w:hAnsiTheme="minorHAnsi" w:cstheme="minorHAnsi"/>
        </w:rPr>
      </w:r>
      <w:proofErr w:type="spellStart"/>
      <w:r w:rsidRPr="006D455A">
        <w:rPr>
          <w:rFonts w:asciiTheme="minorHAnsi" w:hAnsiTheme="minorHAnsi" w:cstheme="minorHAnsi"/>
        </w:rPr>
      </w:r>
      <w:proofErr w:type="spellEnd"/>
      <w:r w:rsidRPr="006D455A">
        <w:rPr>
          <w:rFonts w:asciiTheme="minorHAnsi" w:hAnsiTheme="minorHAnsi" w:cstheme="minorHAnsi"/>
        </w:rPr>
      </w:r>
    </w:p>
    <w:p w14:paraId="4E333530"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Na fronteira: Sparta Max Advisory; Occam Crédito Corporativo 30; JGP Crédito Advisory; JGP Corporate FEEDER II; Polo Crédito Corporativo Advisory; Root Capital Crédito HG Plus; Sparta Top; Novus Crédito; BOCOM BBM Corporate Credit Plus MULT; Selection Light; Safra Grand Vitesse; e BNP Paribas Match Plus 30 Advisory. Para cada caso, a ficha deve registrar se a causa é proximidade do corte, pilar abaixo de 30 ou ambos.</w:t>
      </w:r>
      <w:proofErr w:type="spellStart"/>
      <w:r w:rsidRPr="006D455A">
        <w:rPr>
          <w:rFonts w:asciiTheme="minorHAnsi" w:hAnsiTheme="minorHAnsi" w:cstheme="minorHAnsi"/>
        </w:rPr>
      </w:r>
      <w:proofErr w:type="spellEnd"/>
      <w:r w:rsidRPr="006D455A">
        <w:rPr>
          <w:rFonts w:asciiTheme="minorHAnsi" w:hAnsiTheme="minorHAnsi" w:cstheme="minorHAnsi"/>
        </w:rPr>
      </w:r>
      <w:proofErr w:type="spellStart"/>
      <w:r w:rsidRPr="006D455A">
        <w:rPr>
          <w:rFonts w:asciiTheme="minorHAnsi" w:hAnsiTheme="minorHAnsi" w:cstheme="minorHAnsi"/>
        </w:rPr>
      </w:r>
      <w:proofErr w:type="spellEnd"/>
      <w:r w:rsidRPr="006D455A">
        <w:rPr>
          <w:rFonts w:asciiTheme="minorHAnsi" w:hAnsiTheme="minorHAnsi" w:cstheme="minorHAnsi"/>
        </w:rPr>
      </w:r>
      <w:proofErr w:type="spellStart"/>
      <w:r w:rsidRPr="006D455A">
        <w:rPr>
          <w:rFonts w:asciiTheme="minorHAnsi" w:hAnsiTheme="minorHAnsi" w:cstheme="minorHAnsi"/>
        </w:rPr>
      </w:r>
      <w:proofErr w:type="spellEnd"/>
      <w:r w:rsidRPr="006D455A">
        <w:rPr>
          <w:rFonts w:asciiTheme="minorHAnsi" w:hAnsiTheme="minorHAnsi" w:cstheme="minorHAnsi"/>
        </w:rPr>
      </w:r>
      <w:proofErr w:type="spellStart"/>
      <w:r w:rsidRPr="006D455A">
        <w:rPr>
          <w:rFonts w:asciiTheme="minorHAnsi" w:hAnsiTheme="minorHAnsi" w:cstheme="minorHAnsi"/>
        </w:rPr>
      </w:r>
      <w:proofErr w:type="spellEnd"/>
      <w:r w:rsidRPr="006D455A">
        <w:rPr>
          <w:rFonts w:asciiTheme="minorHAnsi" w:hAnsiTheme="minorHAnsi" w:cstheme="minorHAnsi"/>
        </w:rPr>
      </w:r>
      <w:proofErr w:type="spellStart"/>
      <w:r w:rsidRPr="006D455A">
        <w:rPr>
          <w:rFonts w:asciiTheme="minorHAnsi" w:hAnsiTheme="minorHAnsi" w:cstheme="minorHAnsi"/>
        </w:rPr>
      </w:r>
      <w:proofErr w:type="spellEnd"/>
      <w:r w:rsidRPr="006D455A">
        <w:rPr>
          <w:rFonts w:asciiTheme="minorHAnsi" w:hAnsiTheme="minorHAnsi" w:cstheme="minorHAnsi"/>
        </w:rPr>
      </w:r>
      <w:proofErr w:type="spellStart"/>
      <w:r w:rsidRPr="006D455A">
        <w:rPr>
          <w:rFonts w:asciiTheme="minorHAnsi" w:hAnsiTheme="minorHAnsi" w:cstheme="minorHAnsi"/>
        </w:rPr>
      </w:r>
      <w:proofErr w:type="spellEnd"/>
      <w:r w:rsidRPr="006D455A">
        <w:rPr>
          <w:rFonts w:asciiTheme="minorHAnsi" w:hAnsiTheme="minorHAnsi" w:cstheme="minorHAnsi"/>
        </w:rPr>
      </w:r>
    </w:p>
    <w:p>
      <w:pPr>
        <w:pStyle w:val="Heading2"/>
      </w:pPr>
      <w:r>
        <w:t>Teste de robustez da janela de consistência</w:t>
      </w:r>
    </w:p>
    <w:p>
      <w:pPr/>
      <w:r>
        <w:t>A sensibilidade recalculou apenas a consistência com 48, 60 e 72 meses de histórico, mantendo a escala de notas calibrada nos 47 fundos da análise oficial. Cada teste considerou somente fundos com a respectiva série completa e comparou posições dentro desse mesmo subconjunto: 39, 36 e 34 fundos, respectivamente. Em 48 e 60 meses, nenhuma aprovação quantitativa mudou; houve uma alteração de fronteira em cada teste. Em 72 meses, três fundos da zona cinzenta passariam a aprovados com margem e cinco mudariam de condição de fronteira. O maior deslocamento de posição foi de cinco lugares em cada horizonte. Exigir 72 meses excluiria 13 dos 47 fundos e confundiria a extensão temporal com a mudança do universo. Por isso mantivemos os 36 meses comuns como metodologia oficial. O teste documenta a sensibilidade, sem alterar a fila de diligência ou promover fundos automaticamente; não foi definida investigação adicional dos três casos apenas por esse resultado.</w:t>
      </w:r>
    </w:p>
    <w:p w14:paraId="1D8C4516" w14:textId="23BE5C00" w:rsidR="0060282C" w:rsidRPr="006D455A" w:rsidRDefault="0060282C" w:rsidP="006D455A">
      <w:pPr>
        <w:pStyle w:val="Heading1"/>
        <w:numPr>
          <w:ilvl w:val="0"/>
          <w:numId w:val="16"/>
        </w:numPr>
        <w:jc w:val="both"/>
        <w:rPr>
          <w:rFonts w:asciiTheme="minorHAnsi" w:hAnsiTheme="minorHAnsi" w:cstheme="minorHAnsi"/>
        </w:rPr>
      </w:pPr>
      <w:r w:rsidRPr="006D455A">
        <w:rPr>
          <w:rFonts w:asciiTheme="minorHAnsi" w:hAnsiTheme="minorHAnsi" w:cstheme="minorHAnsi"/>
        </w:rPr>
        <w:t>Diagnóstico de redundância com a carteira cadastrada</w:t>
      </w:r>
    </w:p>
    <w:p w14:paraId="29431DE2"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O modelo lê os nomes dos fundos cadastrados como carteira atual e calcula a correlação entre seus excessos mensais sobre o CDI e os dos candidatos. Para cada candidato, mostra a posição cadastrada com maior correlação e o nível de atenção correspondente. Isso é um diagnóstico de semelhança de comportamento, não uma análise do portfólio agregado. Uma correlação alta não prova igualdade de carteira ou emissor; uma correlação moderada tampouco garante diversificação em estresse. As faixas de atenção são 0,80, elevada 0,85 e muito elevada 0,90. Elas não alteram o score nem vetam automaticamente um fundo.</w:t>
      </w:r>
    </w:p>
    <w:p w14:paraId="0EDE261F" w14:textId="3D68CBA3" w:rsidR="0060282C" w:rsidRPr="006D455A" w:rsidRDefault="0060282C" w:rsidP="006D455A">
      <w:pPr>
        <w:jc w:val="both"/>
        <w:rPr>
          <w:rFonts w:asciiTheme="minorHAnsi" w:hAnsiTheme="minorHAnsi" w:cstheme="minorHAnsi"/>
        </w:rPr>
      </w:pPr>
      <w:r w:rsidRPr="006D455A">
        <w:rPr>
          <w:rFonts w:asciiTheme="minorHAnsi" w:hAnsiTheme="minorHAnsi" w:cstheme="minorHAnsi"/>
        </w:rPr>
        <w:t xml:space="preserve">O arquivo da carteira contém nove nomes. Entre os pares sinalizados na rodada estão Sparta Max Advisory e Sparta Top (correlação de 0,97) e BNP Paribas Match Plus 30 Advisory e BNP Paribas Rubi (0,98). Esses números motivam perguntas sobre emissores, setores, </w:t>
      </w:r>
      <w:proofErr w:type="spellStart"/>
      <w:r w:rsidRPr="006D455A">
        <w:rPr>
          <w:rFonts w:asciiTheme="minorHAnsi" w:hAnsiTheme="minorHAnsi" w:cstheme="minorHAnsi"/>
        </w:rPr>
        <w:t>duration</w:t>
      </w:r>
      <w:proofErr w:type="spellEnd"/>
      <w:r w:rsidRPr="006D455A">
        <w:rPr>
          <w:rFonts w:asciiTheme="minorHAnsi" w:hAnsiTheme="minorHAnsi" w:cstheme="minorHAnsi"/>
        </w:rPr>
        <w:t xml:space="preserve"> e resposta a abertura de spreads; não demonstram que os fundos tenham as mesmas posições. Clusters e testes de estabilidade são descritivos, sem limite automático de fundos por grupo.</w:t>
      </w:r>
    </w:p>
    <w:p w14:paraId="7B691D85" w14:textId="58DC2C4A" w:rsidR="0060282C" w:rsidRPr="006D455A" w:rsidRDefault="0060282C" w:rsidP="006D455A">
      <w:pPr>
        <w:pStyle w:val="Heading1"/>
        <w:numPr>
          <w:ilvl w:val="0"/>
          <w:numId w:val="16"/>
        </w:numPr>
        <w:jc w:val="both"/>
        <w:rPr>
          <w:rFonts w:asciiTheme="minorHAnsi" w:hAnsiTheme="minorHAnsi" w:cstheme="minorHAnsi"/>
        </w:rPr>
      </w:pPr>
      <w:r w:rsidRPr="006D455A">
        <w:rPr>
          <w:rFonts w:asciiTheme="minorHAnsi" w:hAnsiTheme="minorHAnsi" w:cstheme="minorHAnsi"/>
        </w:rPr>
        <w:t>Diligência qualitativa e governança</w:t>
      </w:r>
    </w:p>
    <w:p w14:paraId="0A9E623E"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 xml:space="preserve">A diligência deve ser guiada pelos pontos que a triagem não observa ou que seus alertas tornam materiais. Em crédito e carteira: emissores e grupos econômicos, ratings internos e externos, setores, garantias, eventos, concentração e perdas. Em construção e liquidez: </w:t>
      </w:r>
      <w:proofErr w:type="spellStart"/>
      <w:r w:rsidRPr="006D455A">
        <w:rPr>
          <w:rFonts w:asciiTheme="minorHAnsi" w:hAnsiTheme="minorHAnsi" w:cstheme="minorHAnsi"/>
        </w:rPr>
        <w:t>duration</w:t>
      </w:r>
      <w:proofErr w:type="spellEnd"/>
      <w:r w:rsidRPr="006D455A">
        <w:rPr>
          <w:rFonts w:asciiTheme="minorHAnsi" w:hAnsiTheme="minorHAnsi" w:cstheme="minorHAnsi"/>
        </w:rPr>
        <w:t>, marcação, passivo, caixa, capacidade, derivativos e resgates sob estresse. Na gestora: equipe, alçadas, originação, monitoramento, conflitos e controles. Em economia e comparação com posições atuais: taxa efetiva, performance, rebate, condições da classe, carrego verificável e confirmação de possíveis sobreposições levantadas pela correlação. O benefício para o portfólio ainda precisará ser avaliado antes de uma proposta de investimento.</w:t>
      </w:r>
    </w:p>
    <w:p w14:paraId="792B9FCA"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 xml:space="preserve">Cada ficha deve confrontar números e narrativa da gestora, explicar </w:t>
      </w:r>
      <w:proofErr w:type="spellStart"/>
      <w:r w:rsidRPr="006D455A">
        <w:rPr>
          <w:rFonts w:asciiTheme="minorHAnsi" w:hAnsiTheme="minorHAnsi" w:cstheme="minorHAnsi"/>
        </w:rPr>
        <w:t>drawdowns</w:t>
      </w:r>
      <w:proofErr w:type="spellEnd"/>
      <w:r w:rsidRPr="006D455A">
        <w:rPr>
          <w:rFonts w:asciiTheme="minorHAnsi" w:hAnsiTheme="minorHAnsi" w:cstheme="minorHAnsi"/>
        </w:rPr>
        <w:t xml:space="preserve"> e períodos abaixo do CDI, datar a evidência e registrar pendências. Quatro conclusões são possíveis: aprovado qualitativamente; aprovado com limite ou condição; </w:t>
      </w:r>
      <w:r w:rsidRPr="006D455A">
        <w:rPr>
          <w:rFonts w:asciiTheme="minorHAnsi" w:hAnsiTheme="minorHAnsi" w:cstheme="minorHAnsi"/>
        </w:rPr>
        <w:lastRenderedPageBreak/>
        <w:t>pendente de informações; e reprovado qualitativamente. Condições precisam de limite, gatilho observável, prazo e responsável. A ausência de dado material não se converte em aprovação tácita.</w:t>
      </w:r>
    </w:p>
    <w:p w14:paraId="199DFC3A"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Cabe ao comitê aprovar a metodologia e autorizar esta diligência. Propostas de investimento deverão retornar com uma tese individual, comparação com alternativas e carteira existente, custos efetivos, riscos residuais, tamanho sugerido e justificativa de eventual exceção à régua. Mudanças de pesos, limiares ou métricas exigem versão, motivo e comparação de sensibilidade; não se ajusta o modelo para favorecer um fundo já conhecido.</w:t>
      </w:r>
    </w:p>
    <w:p w14:paraId="5CE1E9A7" w14:textId="119BE6E1" w:rsidR="0060282C" w:rsidRPr="006D455A" w:rsidRDefault="0060282C" w:rsidP="006D455A">
      <w:pPr>
        <w:pStyle w:val="Heading1"/>
        <w:numPr>
          <w:ilvl w:val="0"/>
          <w:numId w:val="16"/>
        </w:numPr>
        <w:jc w:val="both"/>
        <w:rPr>
          <w:rFonts w:asciiTheme="minorHAnsi" w:hAnsiTheme="minorHAnsi" w:cstheme="minorHAnsi"/>
        </w:rPr>
      </w:pPr>
      <w:r w:rsidRPr="006D455A">
        <w:rPr>
          <w:rFonts w:asciiTheme="minorHAnsi" w:hAnsiTheme="minorHAnsi" w:cstheme="minorHAnsi"/>
        </w:rPr>
        <w:t>Limitações e próximos passos</w:t>
      </w:r>
    </w:p>
    <w:p w14:paraId="61CD886D"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 xml:space="preserve">A evidência é histórica e relativa ao universo. Cotas podem suavizar risco, correlações mudam, eventos extremos são pouco frequentes e fundos sobreviventes podem enviesar a amostra. Os 36 meses comuns aumentam comparabilidade, mas excluem fundos novos e não equivalem a uma previsão. A camada de custo mede apenas taxa de administração e eficiência histórica; não calcula </w:t>
      </w:r>
      <w:proofErr w:type="spellStart"/>
      <w:r w:rsidRPr="006D455A">
        <w:rPr>
          <w:rFonts w:asciiTheme="minorHAnsi" w:hAnsiTheme="minorHAnsi" w:cstheme="minorHAnsi"/>
        </w:rPr>
        <w:t>economics</w:t>
      </w:r>
      <w:proofErr w:type="spellEnd"/>
      <w:r w:rsidRPr="006D455A">
        <w:rPr>
          <w:rFonts w:asciiTheme="minorHAnsi" w:hAnsiTheme="minorHAnsi" w:cstheme="minorHAnsi"/>
        </w:rPr>
        <w:t xml:space="preserve"> completo do cliente. Assimetria, curtose e densidade dos excessos, assim como o histórico completo, enriquecem a leitura de caudas, sem se tornarem critérios adicionais ou pesos ocultos.</w:t>
      </w:r>
    </w:p>
    <w:p w14:paraId="24F7B8DB" w14:textId="77777777" w:rsidR="0060282C" w:rsidRPr="006D455A" w:rsidRDefault="0060282C" w:rsidP="006D455A">
      <w:pPr>
        <w:jc w:val="both"/>
        <w:rPr>
          <w:rFonts w:asciiTheme="minorHAnsi" w:hAnsiTheme="minorHAnsi" w:cstheme="minorHAnsi"/>
        </w:rPr>
      </w:pPr>
      <w:r w:rsidRPr="006D455A">
        <w:rPr>
          <w:rFonts w:asciiTheme="minorHAnsi" w:hAnsiTheme="minorHAnsi" w:cstheme="minorHAnsi"/>
        </w:rPr>
        <w:t>Próximos passos: validar os avisos de dados e confirmar se os nove nomes cadastrados correspondem à carteira vigente; abrir fichas para os 21 priorizados; obter carteiras, contratos e dados de liquidez; verificar as possíveis redundâncias sinalizadas; realizar a análise econômica prospectiva com premissas verificadas; e devolver ao comitê propostas individuais documentadas. A simulação de impacto de cada candidato no portfólio agregado ainda não faz parte desta entrega. Produtos fora da janela comum podem seguir trilha excepcional, com evidência alternativa e limitação explícitas.</w:t>
      </w:r>
    </w:p>
    <w:p w14:paraId="4E7B7BAE" w14:textId="7858FC76" w:rsidR="0060282C" w:rsidRPr="006D455A" w:rsidRDefault="0060282C" w:rsidP="006D455A">
      <w:pPr>
        <w:pStyle w:val="Heading1"/>
        <w:jc w:val="both"/>
        <w:rPr>
          <w:rFonts w:asciiTheme="minorHAnsi" w:hAnsiTheme="minorHAnsi" w:cstheme="minorHAnsi"/>
        </w:rPr>
      </w:pPr>
      <w:r w:rsidRPr="006D455A">
        <w:rPr>
          <w:rFonts w:asciiTheme="minorHAnsi" w:hAnsiTheme="minorHAnsi" w:cstheme="minorHAnsi"/>
        </w:rPr>
        <w:t>Anexo A</w:t>
      </w:r>
      <w:r w:rsidR="006D455A">
        <w:rPr>
          <w:rFonts w:asciiTheme="minorHAnsi" w:hAnsiTheme="minorHAnsi" w:cstheme="minorHAnsi"/>
        </w:rPr>
        <w:t>:</w:t>
      </w:r>
      <w:r w:rsidRPr="006D455A">
        <w:rPr>
          <w:rFonts w:asciiTheme="minorHAnsi" w:hAnsiTheme="minorHAnsi" w:cstheme="minorHAnsi"/>
        </w:rPr>
        <w:t xml:space="preserve"> Fórmulas e parâmetros</w:t>
      </w:r>
    </w:p>
    <w:p w14:paraId="0F8E4A3E" w14:textId="77777777" w:rsidR="009F5BBD" w:rsidRPr="006D455A" w:rsidRDefault="009F5BBD" w:rsidP="006D455A">
      <w:pPr>
        <w:jc w:val="both"/>
        <w:rPr>
          <w:rFonts w:asciiTheme="minorHAnsi" w:hAnsiTheme="minorHAnsi" w:cstheme="minorHAnsi"/>
        </w:rPr>
      </w:pPr>
      <w:r w:rsidRPr="006D455A">
        <w:rPr>
          <w:rFonts w:asciiTheme="minorHAnsi" w:hAnsiTheme="minorHAnsi" w:cstheme="minorHAnsi"/>
        </w:rPr>
        <w:t>Definições de retornos, risco, notas e classificação para a seleção quantitativa de fundos de crédito privado high grade.</w:t>
      </w:r>
    </w:p>
    <w:p w14:paraId="60C2DFFF" w14:textId="77777777" w:rsidR="009F5BBD" w:rsidRPr="006D455A" w:rsidRDefault="009F5BBD" w:rsidP="006D455A">
      <w:pPr>
        <w:jc w:val="both"/>
        <w:rPr>
          <w:rFonts w:asciiTheme="minorHAnsi" w:hAnsiTheme="minorHAnsi" w:cstheme="minorHAnsi"/>
          <w:b/>
          <w:bCs/>
        </w:rPr>
      </w:pPr>
      <w:r w:rsidRPr="006D455A">
        <w:rPr>
          <w:rFonts w:asciiTheme="minorHAnsi" w:hAnsiTheme="minorHAnsi" w:cstheme="minorHAnsi"/>
          <w:b/>
          <w:bCs/>
        </w:rPr>
        <w:t>Retornos e excesso sobre o CDI</w:t>
      </w:r>
    </w:p>
    <w:p w14:paraId="2F1831AC" w14:textId="77777777" w:rsidR="009F5BBD" w:rsidRPr="006D455A" w:rsidRDefault="009F5BBD" w:rsidP="006D455A">
      <w:pPr>
        <w:jc w:val="both"/>
        <w:rPr>
          <w:rFonts w:asciiTheme="minorHAnsi" w:hAnsiTheme="minorHAnsi" w:cstheme="minorHAnsi"/>
        </w:rPr>
      </w:pPr>
      <w:r w:rsidRPr="006D455A">
        <w:rPr>
          <w:rFonts w:asciiTheme="minorHAnsi" w:hAnsiTheme="minorHAnsi" w:cstheme="minorHAnsi"/>
        </w:rPr>
        <w:t>O retorno diário simples é a variação da cota ajustada. O excesso diário utilizado nos diagnósticos é geométrico:</w:t>
      </w:r>
    </w:p>
    <w:p w14:paraId="4E366CE0" w14:textId="63199293" w:rsidR="009F5BBD" w:rsidRPr="006D455A" w:rsidRDefault="009F5BBD" w:rsidP="006D455A">
      <w:pPr>
        <w:jc w:val="both"/>
        <w:rPr>
          <w:rFonts w:asciiTheme="minorHAnsi" w:hAnsiTheme="minorHAnsi" w:cstheme="minorHAnsi"/>
          <w:lang w:val="en-US"/>
        </w:rPr>
      </w:pPr>
      <m:oMathPara>
        <m:oMath>
          <m:sSub>
            <m:sSubPr>
              <m:ctrlPr>
                <w:rPr>
                  <w:rFonts w:ascii="Cambria Math" w:hAnsi="Cambria Math" w:cstheme="minorHAnsi"/>
                  <w:lang w:val="en-US"/>
                </w:rPr>
              </m:ctrlPr>
            </m:sSubPr>
            <m:e>
              <m:r>
                <m:rPr>
                  <m:sty m:val="p"/>
                </m:rPr>
                <w:rPr>
                  <w:rFonts w:ascii="Cambria Math" w:hAnsi="Cambria Math" w:cstheme="minorHAnsi"/>
                  <w:lang w:val="en-US"/>
                </w:rPr>
                <m:t>r</m:t>
              </m:r>
            </m:e>
            <m:sub>
              <m:r>
                <m:rPr>
                  <m:sty m:val="p"/>
                </m:rPr>
                <w:rPr>
                  <w:rFonts w:ascii="Cambria Math" w:hAnsi="Cambria Math" w:cstheme="minorHAnsi"/>
                  <w:lang w:val="en-US"/>
                </w:rPr>
                <m:t>t</m:t>
              </m:r>
            </m:sub>
          </m:sSub>
          <m:r>
            <m:rPr>
              <m:sty m:val="p"/>
            </m:rPr>
            <w:rPr>
              <w:rFonts w:ascii="Cambria Math" w:hAnsi="Cambria Math" w:cstheme="minorHAnsi"/>
              <w:lang w:val="en-US"/>
            </w:rPr>
            <m:t xml:space="preserve"> = </m:t>
          </m:r>
          <m:f>
            <m:fPr>
              <m:ctrlPr>
                <w:rPr>
                  <w:rFonts w:ascii="Cambria Math" w:hAnsi="Cambria Math" w:cstheme="minorHAnsi"/>
                  <w:lang w:val="en-US"/>
                </w:rPr>
              </m:ctrlPr>
            </m:fPr>
            <m:num>
              <m:sSub>
                <m:sSubPr>
                  <m:ctrlPr>
                    <w:rPr>
                      <w:rFonts w:ascii="Cambria Math" w:hAnsi="Cambria Math" w:cstheme="minorHAnsi"/>
                      <w:lang w:val="en-US"/>
                    </w:rPr>
                  </m:ctrlPr>
                </m:sSubPr>
                <m:e>
                  <m:r>
                    <m:rPr>
                      <m:sty m:val="p"/>
                    </m:rPr>
                    <w:rPr>
                      <w:rFonts w:ascii="Cambria Math" w:hAnsi="Cambria Math" w:cstheme="minorHAnsi"/>
                      <w:lang w:val="en-US"/>
                    </w:rPr>
                    <m:t>C</m:t>
                  </m:r>
                </m:e>
                <m:sub>
                  <m:r>
                    <m:rPr>
                      <m:sty m:val="p"/>
                    </m:rPr>
                    <w:rPr>
                      <w:rFonts w:ascii="Cambria Math" w:hAnsi="Cambria Math" w:cstheme="minorHAnsi"/>
                      <w:lang w:val="en-US"/>
                    </w:rPr>
                    <m:t>t</m:t>
                  </m:r>
                </m:sub>
              </m:sSub>
            </m:num>
            <m:den>
              <m:sSub>
                <m:sSubPr>
                  <m:ctrlPr>
                    <w:rPr>
                      <w:rFonts w:ascii="Cambria Math" w:hAnsi="Cambria Math" w:cstheme="minorHAnsi"/>
                      <w:lang w:val="en-US"/>
                    </w:rPr>
                  </m:ctrlPr>
                </m:sSubPr>
                <m:e>
                  <m:r>
                    <m:rPr>
                      <m:sty m:val="p"/>
                    </m:rPr>
                    <w:rPr>
                      <w:rFonts w:ascii="Cambria Math" w:hAnsi="Cambria Math" w:cstheme="minorHAnsi"/>
                      <w:lang w:val="en-US"/>
                    </w:rPr>
                    <m:t>C</m:t>
                  </m:r>
                </m:e>
                <m:sub>
                  <m:r>
                    <m:rPr>
                      <m:sty m:val="p"/>
                    </m:rPr>
                    <w:rPr>
                      <w:rFonts w:ascii="Cambria Math" w:hAnsi="Cambria Math" w:cstheme="minorHAnsi"/>
                      <w:lang w:val="en-US"/>
                    </w:rPr>
                    <m:t>t-1</m:t>
                  </m:r>
                </m:sub>
              </m:sSub>
            </m:den>
          </m:f>
          <m:r>
            <m:rPr>
              <m:sty m:val="p"/>
            </m:rPr>
            <w:rPr>
              <w:rFonts w:ascii="Cambria Math" w:hAnsi="Cambria Math" w:cstheme="minorHAnsi"/>
              <w:lang w:val="en-US"/>
            </w:rPr>
            <m:t xml:space="preserve"> - 1     </m:t>
          </m:r>
          <m:sSub>
            <m:sSubPr>
              <m:ctrlPr>
                <w:rPr>
                  <w:rFonts w:ascii="Cambria Math" w:hAnsi="Cambria Math" w:cstheme="minorHAnsi"/>
                  <w:lang w:val="en-US"/>
                </w:rPr>
              </m:ctrlPr>
            </m:sSubPr>
            <m:e>
              <m:r>
                <m:rPr>
                  <m:sty m:val="p"/>
                </m:rPr>
                <w:rPr>
                  <w:rFonts w:ascii="Cambria Math" w:hAnsi="Cambria Math" w:cstheme="minorHAnsi"/>
                  <w:lang w:val="en-US"/>
                </w:rPr>
                <m:t>e</m:t>
              </m:r>
            </m:e>
            <m:sub>
              <m:r>
                <m:rPr>
                  <m:sty m:val="p"/>
                </m:rPr>
                <w:rPr>
                  <w:rFonts w:ascii="Cambria Math" w:hAnsi="Cambria Math" w:cstheme="minorHAnsi"/>
                  <w:lang w:val="en-US"/>
                </w:rPr>
                <m:t>t</m:t>
              </m:r>
            </m:sub>
          </m:sSub>
          <m:r>
            <m:rPr>
              <m:sty m:val="p"/>
            </m:rPr>
            <w:rPr>
              <w:rFonts w:ascii="Cambria Math" w:hAnsi="Cambria Math" w:cstheme="minorHAnsi"/>
              <w:lang w:val="en-US"/>
            </w:rPr>
            <m:t xml:space="preserve"> = </m:t>
          </m:r>
          <m:f>
            <m:fPr>
              <m:ctrlPr>
                <w:rPr>
                  <w:rFonts w:ascii="Cambria Math" w:hAnsi="Cambria Math" w:cstheme="minorHAnsi"/>
                  <w:lang w:val="en-US"/>
                </w:rPr>
              </m:ctrlPr>
            </m:fPr>
            <m:num>
              <m:r>
                <m:rPr>
                  <m:sty m:val="p"/>
                </m:rPr>
                <w:rPr>
                  <w:rFonts w:ascii="Cambria Math" w:hAnsi="Cambria Math" w:cstheme="minorHAnsi"/>
                  <w:lang w:val="en-US"/>
                </w:rPr>
                <m:t xml:space="preserve">1 + </m:t>
              </m:r>
              <m:sSub>
                <m:sSubPr>
                  <m:ctrlPr>
                    <w:rPr>
                      <w:rFonts w:ascii="Cambria Math" w:hAnsi="Cambria Math" w:cstheme="minorHAnsi"/>
                      <w:lang w:val="en-US"/>
                    </w:rPr>
                  </m:ctrlPr>
                </m:sSubPr>
                <m:e>
                  <m:r>
                    <m:rPr>
                      <m:sty m:val="p"/>
                    </m:rPr>
                    <w:rPr>
                      <w:rFonts w:ascii="Cambria Math" w:hAnsi="Cambria Math" w:cstheme="minorHAnsi"/>
                      <w:lang w:val="en-US"/>
                    </w:rPr>
                    <m:t>r</m:t>
                  </m:r>
                </m:e>
                <m:sub>
                  <m:r>
                    <m:rPr>
                      <m:sty m:val="p"/>
                    </m:rPr>
                    <w:rPr>
                      <w:rFonts w:ascii="Cambria Math" w:hAnsi="Cambria Math" w:cstheme="minorHAnsi"/>
                      <w:lang w:val="en-US"/>
                    </w:rPr>
                    <m:t>t, fundo</m:t>
                  </m:r>
                </m:sub>
              </m:sSub>
            </m:num>
            <m:den>
              <m:r>
                <m:rPr>
                  <m:sty m:val="p"/>
                </m:rPr>
                <w:rPr>
                  <w:rFonts w:ascii="Cambria Math" w:hAnsi="Cambria Math" w:cstheme="minorHAnsi"/>
                  <w:lang w:val="en-US"/>
                </w:rPr>
                <m:t xml:space="preserve">1 + </m:t>
              </m:r>
              <m:sSub>
                <m:sSubPr>
                  <m:ctrlPr>
                    <w:rPr>
                      <w:rFonts w:ascii="Cambria Math" w:hAnsi="Cambria Math" w:cstheme="minorHAnsi"/>
                      <w:lang w:val="en-US"/>
                    </w:rPr>
                  </m:ctrlPr>
                </m:sSubPr>
                <m:e>
                  <m:r>
                    <m:rPr>
                      <m:sty m:val="p"/>
                    </m:rPr>
                    <w:rPr>
                      <w:rFonts w:ascii="Cambria Math" w:hAnsi="Cambria Math" w:cstheme="minorHAnsi"/>
                      <w:lang w:val="en-US"/>
                    </w:rPr>
                    <m:t>r</m:t>
                  </m:r>
                </m:e>
                <m:sub>
                  <m:r>
                    <m:rPr>
                      <m:sty m:val="p"/>
                    </m:rPr>
                    <w:rPr>
                      <w:rFonts w:ascii="Cambria Math" w:hAnsi="Cambria Math" w:cstheme="minorHAnsi"/>
                      <w:lang w:val="en-US"/>
                    </w:rPr>
                    <m:t>t, CDI</m:t>
                  </m:r>
                </m:sub>
              </m:sSub>
            </m:den>
          </m:f>
          <m:r>
            <m:rPr>
              <m:sty m:val="p"/>
            </m:rPr>
            <w:rPr>
              <w:rFonts w:ascii="Cambria Math" w:hAnsi="Cambria Math" w:cstheme="minorHAnsi"/>
              <w:lang w:val="en-US"/>
            </w:rPr>
            <m:t xml:space="preserve"> - 1</m:t>
          </m:r>
        </m:oMath>
      </m:oMathPara>
    </w:p>
    <w:p w14:paraId="18FB9B9A" w14:textId="77777777" w:rsidR="009F5BBD" w:rsidRPr="006D455A" w:rsidRDefault="009F5BBD" w:rsidP="006D455A">
      <w:pPr>
        <w:jc w:val="both"/>
        <w:rPr>
          <w:rFonts w:asciiTheme="minorHAnsi" w:hAnsiTheme="minorHAnsi" w:cstheme="minorHAnsi"/>
        </w:rPr>
      </w:pPr>
      <w:r w:rsidRPr="006D455A">
        <w:rPr>
          <w:rFonts w:asciiTheme="minorHAnsi" w:hAnsiTheme="minorHAnsi" w:cstheme="minorHAnsi"/>
        </w:rPr>
        <w:t>O retorno composto é o produto dos fatores de retorno, menos um. Para um retorno acumulado em n meses, a anualização é:</w:t>
      </w:r>
    </w:p>
    <w:p w14:paraId="078D2EB4" w14:textId="129490E1" w:rsidR="009F5BBD" w:rsidRPr="006D455A" w:rsidRDefault="009F5BBD" w:rsidP="006D455A">
      <w:pPr>
        <w:jc w:val="both"/>
        <w:rPr>
          <w:rFonts w:asciiTheme="minorHAnsi" w:hAnsiTheme="minorHAnsi" w:cstheme="minorHAnsi"/>
          <w:lang w:val="en-US"/>
        </w:rPr>
      </w:pPr>
      <m:oMathPara>
        <m:oMath>
          <m:sSub>
            <m:sSubPr>
              <m:ctrlPr>
                <w:rPr>
                  <w:rFonts w:ascii="Cambria Math" w:hAnsi="Cambria Math" w:cstheme="minorHAnsi"/>
                  <w:lang w:val="en-US"/>
                </w:rPr>
              </m:ctrlPr>
            </m:sSubPr>
            <m:e>
              <m:r>
                <m:rPr>
                  <m:sty m:val="p"/>
                </m:rPr>
                <w:rPr>
                  <w:rFonts w:ascii="Cambria Math" w:hAnsi="Cambria Math" w:cstheme="minorHAnsi"/>
                  <w:lang w:val="en-US"/>
                </w:rPr>
                <m:t>R</m:t>
              </m:r>
            </m:e>
            <m:sub>
              <m:r>
                <m:rPr>
                  <m:sty m:val="p"/>
                </m:rPr>
                <w:rPr>
                  <w:rFonts w:ascii="Cambria Math" w:hAnsi="Cambria Math" w:cstheme="minorHAnsi"/>
                  <w:lang w:val="en-US"/>
                </w:rPr>
                <m:t>acum</m:t>
              </m:r>
            </m:sub>
          </m:sSub>
          <m:r>
            <m:rPr>
              <m:sty m:val="p"/>
            </m:rPr>
            <w:rPr>
              <w:rFonts w:ascii="Cambria Math" w:hAnsi="Cambria Math" w:cstheme="minorHAnsi"/>
              <w:lang w:val="en-US"/>
            </w:rPr>
            <m:t xml:space="preserve"> = </m:t>
          </m:r>
          <m:nary>
            <m:naryPr>
              <m:chr m:val="∏"/>
              <m:limLoc m:val="undOvr"/>
              <m:ctrlPr>
                <w:rPr>
                  <w:rFonts w:ascii="Cambria Math" w:hAnsi="Cambria Math" w:cstheme="minorHAnsi"/>
                  <w:lang w:val="en-US"/>
                </w:rPr>
              </m:ctrlPr>
            </m:naryPr>
            <m:sub>
              <m:r>
                <m:rPr>
                  <m:sty m:val="p"/>
                </m:rPr>
                <w:rPr>
                  <w:rFonts w:ascii="Cambria Math" w:hAnsi="Cambria Math" w:cstheme="minorHAnsi"/>
                  <w:lang w:val="en-US"/>
                </w:rPr>
                <m:t>t=1</m:t>
              </m:r>
            </m:sub>
            <m:sup>
              <m:r>
                <m:rPr>
                  <m:sty m:val="p"/>
                </m:rPr>
                <w:rPr>
                  <w:rFonts w:ascii="Cambria Math" w:hAnsi="Cambria Math" w:cstheme="minorHAnsi"/>
                  <w:lang w:val="en-US"/>
                </w:rPr>
                <m:t>T</m:t>
              </m:r>
            </m:sup>
            <m:e>
              <m:r>
                <m:rPr>
                  <m:sty m:val="p"/>
                </m:rPr>
                <w:rPr>
                  <w:rFonts w:ascii="Cambria Math" w:hAnsi="Cambria Math" w:cstheme="minorHAnsi"/>
                  <w:lang w:val="en-US"/>
                </w:rPr>
                <m:t xml:space="preserve">(1 + </m:t>
              </m:r>
              <m:sSub>
                <m:sSubPr>
                  <m:ctrlPr>
                    <w:rPr>
                      <w:rFonts w:ascii="Cambria Math" w:hAnsi="Cambria Math" w:cstheme="minorHAnsi"/>
                      <w:lang w:val="en-US"/>
                    </w:rPr>
                  </m:ctrlPr>
                </m:sSubPr>
                <m:e>
                  <m:r>
                    <m:rPr>
                      <m:sty m:val="p"/>
                    </m:rPr>
                    <w:rPr>
                      <w:rFonts w:ascii="Cambria Math" w:hAnsi="Cambria Math" w:cstheme="minorHAnsi"/>
                      <w:lang w:val="en-US"/>
                    </w:rPr>
                    <m:t>r</m:t>
                  </m:r>
                </m:e>
                <m:sub>
                  <m:r>
                    <m:rPr>
                      <m:sty m:val="p"/>
                    </m:rPr>
                    <w:rPr>
                      <w:rFonts w:ascii="Cambria Math" w:hAnsi="Cambria Math" w:cstheme="minorHAnsi"/>
                      <w:lang w:val="en-US"/>
                    </w:rPr>
                    <m:t>t</m:t>
                  </m:r>
                </m:sub>
              </m:sSub>
              <m:r>
                <m:rPr>
                  <m:sty m:val="p"/>
                </m:rPr>
                <w:rPr>
                  <w:rFonts w:ascii="Cambria Math" w:hAnsi="Cambria Math" w:cstheme="minorHAnsi"/>
                  <w:lang w:val="en-US"/>
                </w:rPr>
                <m:t>)</m:t>
              </m:r>
            </m:e>
          </m:nary>
          <m:r>
            <m:rPr>
              <m:sty m:val="p"/>
            </m:rPr>
            <w:rPr>
              <w:rFonts w:ascii="Cambria Math" w:hAnsi="Cambria Math" w:cstheme="minorHAnsi"/>
              <w:lang w:val="en-US"/>
            </w:rPr>
            <m:t xml:space="preserve"> - 1     </m:t>
          </m:r>
          <m:sSub>
            <m:sSubPr>
              <m:ctrlPr>
                <w:rPr>
                  <w:rFonts w:ascii="Cambria Math" w:hAnsi="Cambria Math" w:cstheme="minorHAnsi"/>
                  <w:lang w:val="en-US"/>
                </w:rPr>
              </m:ctrlPr>
            </m:sSubPr>
            <m:e>
              <m:r>
                <m:rPr>
                  <m:sty m:val="p"/>
                </m:rPr>
                <w:rPr>
                  <w:rFonts w:ascii="Cambria Math" w:hAnsi="Cambria Math" w:cstheme="minorHAnsi"/>
                  <w:lang w:val="en-US"/>
                </w:rPr>
                <m:t>R</m:t>
              </m:r>
            </m:e>
            <m:sub>
              <m:r>
                <m:rPr>
                  <m:sty m:val="p"/>
                </m:rPr>
                <w:rPr>
                  <w:rFonts w:ascii="Cambria Math" w:hAnsi="Cambria Math" w:cstheme="minorHAnsi"/>
                  <w:lang w:val="en-US"/>
                </w:rPr>
                <m:t>anual</m:t>
              </m:r>
            </m:sub>
          </m:sSub>
          <m:r>
            <m:rPr>
              <m:sty m:val="p"/>
            </m:rPr>
            <w:rPr>
              <w:rFonts w:ascii="Cambria Math" w:hAnsi="Cambria Math" w:cstheme="minorHAnsi"/>
              <w:lang w:val="en-US"/>
            </w:rPr>
            <m:t xml:space="preserve"> = </m:t>
          </m:r>
          <m:sSup>
            <m:sSupPr>
              <m:ctrlPr>
                <w:rPr>
                  <w:rFonts w:ascii="Cambria Math" w:hAnsi="Cambria Math" w:cstheme="minorHAnsi"/>
                  <w:lang w:val="en-US"/>
                </w:rPr>
              </m:ctrlPr>
            </m:sSupPr>
            <m:e>
              <m:r>
                <m:rPr>
                  <m:sty m:val="p"/>
                </m:rPr>
                <w:rPr>
                  <w:rFonts w:ascii="Cambria Math" w:hAnsi="Cambria Math" w:cstheme="minorHAnsi"/>
                  <w:lang w:val="en-US"/>
                </w:rPr>
                <m:t xml:space="preserve">(1 + </m:t>
              </m:r>
              <m:sSub>
                <m:sSubPr>
                  <m:ctrlPr>
                    <w:rPr>
                      <w:rFonts w:ascii="Cambria Math" w:hAnsi="Cambria Math" w:cstheme="minorHAnsi"/>
                      <w:lang w:val="en-US"/>
                    </w:rPr>
                  </m:ctrlPr>
                </m:sSubPr>
                <m:e>
                  <m:r>
                    <m:rPr>
                      <m:sty m:val="p"/>
                    </m:rPr>
                    <w:rPr>
                      <w:rFonts w:ascii="Cambria Math" w:hAnsi="Cambria Math" w:cstheme="minorHAnsi"/>
                      <w:lang w:val="en-US"/>
                    </w:rPr>
                    <m:t>R</m:t>
                  </m:r>
                </m:e>
                <m:sub>
                  <m:r>
                    <m:rPr>
                      <m:sty m:val="p"/>
                    </m:rPr>
                    <w:rPr>
                      <w:rFonts w:ascii="Cambria Math" w:hAnsi="Cambria Math" w:cstheme="minorHAnsi"/>
                      <w:lang w:val="en-US"/>
                    </w:rPr>
                    <m:t>acum</m:t>
                  </m:r>
                </m:sub>
              </m:sSub>
              <m:r>
                <m:rPr>
                  <m:sty m:val="p"/>
                </m:rPr>
                <w:rPr>
                  <w:rFonts w:ascii="Cambria Math" w:hAnsi="Cambria Math" w:cstheme="minorHAnsi"/>
                  <w:lang w:val="en-US"/>
                </w:rPr>
                <m:t>)</m:t>
              </m:r>
            </m:e>
            <m:sup>
              <m:r>
                <m:rPr>
                  <m:sty m:val="p"/>
                </m:rPr>
                <w:rPr>
                  <w:rFonts w:ascii="Cambria Math" w:hAnsi="Cambria Math" w:cstheme="minorHAnsi"/>
                  <w:lang w:val="en-US"/>
                </w:rPr>
                <m:t>12/n</m:t>
              </m:r>
            </m:sup>
          </m:sSup>
          <m:r>
            <m:rPr>
              <m:sty m:val="p"/>
            </m:rPr>
            <w:rPr>
              <w:rFonts w:ascii="Cambria Math" w:hAnsi="Cambria Math" w:cstheme="minorHAnsi"/>
              <w:lang w:val="en-US"/>
            </w:rPr>
            <m:t xml:space="preserve"> - 1</m:t>
          </m:r>
        </m:oMath>
      </m:oMathPara>
    </w:p>
    <w:p w14:paraId="4E455501" w14:textId="77777777" w:rsidR="009F5BBD" w:rsidRPr="006D455A" w:rsidRDefault="009F5BBD" w:rsidP="006D455A">
      <w:pPr>
        <w:jc w:val="both"/>
        <w:rPr>
          <w:rFonts w:asciiTheme="minorHAnsi" w:hAnsiTheme="minorHAnsi" w:cstheme="minorHAnsi"/>
        </w:rPr>
      </w:pPr>
      <w:r w:rsidRPr="006D455A">
        <w:rPr>
          <w:rFonts w:asciiTheme="minorHAnsi" w:hAnsiTheme="minorHAnsi" w:cstheme="minorHAnsi"/>
        </w:rPr>
        <w:t>Para cada mês m, o excesso geométrico sobre o CDI é calculado a partir dos retornos mensais do fundo e do índice:</w:t>
      </w:r>
    </w:p>
    <w:p w14:paraId="54DAE83F" w14:textId="3198183E" w:rsidR="009F5BBD" w:rsidRPr="006D455A" w:rsidRDefault="009F5BBD" w:rsidP="006D455A">
      <w:pPr>
        <w:jc w:val="both"/>
        <w:rPr>
          <w:rFonts w:asciiTheme="minorHAnsi" w:hAnsiTheme="minorHAnsi" w:cstheme="minorHAnsi"/>
          <w:lang w:val="en-US"/>
        </w:rPr>
      </w:pPr>
      <m:oMathPara>
        <m:oMath>
          <m:sSub>
            <m:sSubPr>
              <m:ctrlPr>
                <w:rPr>
                  <w:rFonts w:ascii="Cambria Math" w:hAnsi="Cambria Math" w:cstheme="minorHAnsi"/>
                  <w:lang w:val="en-US"/>
                </w:rPr>
              </m:ctrlPr>
            </m:sSubPr>
            <m:e>
              <m:r>
                <m:rPr>
                  <m:sty m:val="p"/>
                </m:rPr>
                <w:rPr>
                  <w:rFonts w:ascii="Cambria Math" w:hAnsi="Cambria Math" w:cstheme="minorHAnsi"/>
                  <w:lang w:val="en-US"/>
                </w:rPr>
                <m:t>e</m:t>
              </m:r>
            </m:e>
            <m:sub>
              <m:r>
                <m:rPr>
                  <m:sty m:val="p"/>
                </m:rPr>
                <w:rPr>
                  <w:rFonts w:ascii="Cambria Math" w:hAnsi="Cambria Math" w:cstheme="minorHAnsi"/>
                  <w:lang w:val="en-US"/>
                </w:rPr>
                <m:t>m</m:t>
              </m:r>
            </m:sub>
          </m:sSub>
          <m:r>
            <m:rPr>
              <m:sty m:val="p"/>
            </m:rPr>
            <w:rPr>
              <w:rFonts w:ascii="Cambria Math" w:hAnsi="Cambria Math" w:cstheme="minorHAnsi"/>
              <w:lang w:val="en-US"/>
            </w:rPr>
            <m:t xml:space="preserve"> = </m:t>
          </m:r>
          <m:f>
            <m:fPr>
              <m:ctrlPr>
                <w:rPr>
                  <w:rFonts w:ascii="Cambria Math" w:hAnsi="Cambria Math" w:cstheme="minorHAnsi"/>
                  <w:lang w:val="en-US"/>
                </w:rPr>
              </m:ctrlPr>
            </m:fPr>
            <m:num>
              <m:r>
                <m:rPr>
                  <m:sty m:val="p"/>
                </m:rPr>
                <w:rPr>
                  <w:rFonts w:ascii="Cambria Math" w:hAnsi="Cambria Math" w:cstheme="minorHAnsi"/>
                  <w:lang w:val="en-US"/>
                </w:rPr>
                <m:t xml:space="preserve">1 + </m:t>
              </m:r>
              <m:sSub>
                <m:sSubPr>
                  <m:ctrlPr>
                    <w:rPr>
                      <w:rFonts w:ascii="Cambria Math" w:hAnsi="Cambria Math" w:cstheme="minorHAnsi"/>
                      <w:lang w:val="en-US"/>
                    </w:rPr>
                  </m:ctrlPr>
                </m:sSubPr>
                <m:e>
                  <m:r>
                    <m:rPr>
                      <m:sty m:val="p"/>
                    </m:rPr>
                    <w:rPr>
                      <w:rFonts w:ascii="Cambria Math" w:hAnsi="Cambria Math" w:cstheme="minorHAnsi"/>
                      <w:lang w:val="en-US"/>
                    </w:rPr>
                    <m:t>R</m:t>
                  </m:r>
                </m:e>
                <m:sub>
                  <m:r>
                    <m:rPr>
                      <m:sty m:val="p"/>
                    </m:rPr>
                    <w:rPr>
                      <w:rFonts w:ascii="Cambria Math" w:hAnsi="Cambria Math" w:cstheme="minorHAnsi"/>
                      <w:lang w:val="en-US"/>
                    </w:rPr>
                    <m:t>fundo, m</m:t>
                  </m:r>
                </m:sub>
              </m:sSub>
            </m:num>
            <m:den>
              <m:r>
                <m:rPr>
                  <m:sty m:val="p"/>
                </m:rPr>
                <w:rPr>
                  <w:rFonts w:ascii="Cambria Math" w:hAnsi="Cambria Math" w:cstheme="minorHAnsi"/>
                  <w:lang w:val="en-US"/>
                </w:rPr>
                <m:t xml:space="preserve">1 + </m:t>
              </m:r>
              <m:sSub>
                <m:sSubPr>
                  <m:ctrlPr>
                    <w:rPr>
                      <w:rFonts w:ascii="Cambria Math" w:hAnsi="Cambria Math" w:cstheme="minorHAnsi"/>
                      <w:lang w:val="en-US"/>
                    </w:rPr>
                  </m:ctrlPr>
                </m:sSubPr>
                <m:e>
                  <m:r>
                    <m:rPr>
                      <m:sty m:val="p"/>
                    </m:rPr>
                    <w:rPr>
                      <w:rFonts w:ascii="Cambria Math" w:hAnsi="Cambria Math" w:cstheme="minorHAnsi"/>
                      <w:lang w:val="en-US"/>
                    </w:rPr>
                    <m:t>R</m:t>
                  </m:r>
                </m:e>
                <m:sub>
                  <m:r>
                    <m:rPr>
                      <m:sty m:val="p"/>
                    </m:rPr>
                    <w:rPr>
                      <w:rFonts w:ascii="Cambria Math" w:hAnsi="Cambria Math" w:cstheme="minorHAnsi"/>
                      <w:lang w:val="en-US"/>
                    </w:rPr>
                    <m:t>CDI, m</m:t>
                  </m:r>
                </m:sub>
              </m:sSub>
            </m:den>
          </m:f>
          <m:r>
            <m:rPr>
              <m:sty m:val="p"/>
            </m:rPr>
            <w:rPr>
              <w:rFonts w:ascii="Cambria Math" w:hAnsi="Cambria Math" w:cstheme="minorHAnsi"/>
              <w:lang w:val="en-US"/>
            </w:rPr>
            <m:t xml:space="preserve"> - 1</m:t>
          </m:r>
        </m:oMath>
      </m:oMathPara>
    </w:p>
    <w:p w14:paraId="6D0C8D67" w14:textId="77777777" w:rsidR="009F5BBD" w:rsidRPr="006D455A" w:rsidRDefault="009F5BBD" w:rsidP="006D455A">
      <w:pPr>
        <w:jc w:val="both"/>
        <w:rPr>
          <w:rFonts w:asciiTheme="minorHAnsi" w:hAnsiTheme="minorHAnsi" w:cstheme="minorHAnsi"/>
        </w:rPr>
      </w:pPr>
      <w:r w:rsidRPr="006D455A">
        <w:rPr>
          <w:rFonts w:asciiTheme="minorHAnsi" w:hAnsiTheme="minorHAnsi" w:cstheme="minorHAnsi"/>
        </w:rPr>
        <w:t>Nos 36 meses completos e comuns, o excesso anualizado utilizado no score é:</w:t>
      </w:r>
    </w:p>
    <w:p w14:paraId="1599A46D" w14:textId="0185C893" w:rsidR="009F5BBD" w:rsidRPr="006D455A" w:rsidRDefault="009F5BBD" w:rsidP="006D455A">
      <w:pPr>
        <w:jc w:val="both"/>
        <w:rPr>
          <w:rFonts w:asciiTheme="minorHAnsi" w:hAnsiTheme="minorHAnsi" w:cstheme="minorHAnsi"/>
          <w:lang w:val="en-US"/>
        </w:rPr>
      </w:pPr>
      <m:oMathPara>
        <m:oMath>
          <m:sSub>
            <m:sSubPr>
              <m:ctrlPr>
                <w:rPr>
                  <w:rFonts w:ascii="Cambria Math" w:hAnsi="Cambria Math" w:cstheme="minorHAnsi"/>
                  <w:lang w:val="en-US"/>
                </w:rPr>
              </m:ctrlPr>
            </m:sSubPr>
            <m:e>
              <m:r>
                <m:rPr>
                  <m:sty m:val="p"/>
                </m:rPr>
                <w:rPr>
                  <w:rFonts w:ascii="Cambria Math" w:hAnsi="Cambria Math" w:cstheme="minorHAnsi"/>
                  <w:lang w:val="en-US"/>
                </w:rPr>
                <m:t>E</m:t>
              </m:r>
            </m:e>
            <m:sub>
              <m:r>
                <m:rPr>
                  <m:sty m:val="p"/>
                </m:rPr>
                <w:rPr>
                  <w:rFonts w:ascii="Cambria Math" w:hAnsi="Cambria Math" w:cstheme="minorHAnsi"/>
                  <w:lang w:val="en-US"/>
                </w:rPr>
                <m:t>anual</m:t>
              </m:r>
            </m:sub>
          </m:sSub>
          <m:r>
            <m:rPr>
              <m:sty m:val="p"/>
            </m:rPr>
            <w:rPr>
              <w:rFonts w:ascii="Cambria Math" w:hAnsi="Cambria Math" w:cstheme="minorHAnsi"/>
              <w:lang w:val="en-US"/>
            </w:rPr>
            <m:t xml:space="preserve"> = </m:t>
          </m:r>
          <m:sSup>
            <m:sSupPr>
              <m:ctrlPr>
                <w:rPr>
                  <w:rFonts w:ascii="Cambria Math" w:hAnsi="Cambria Math" w:cstheme="minorHAnsi"/>
                  <w:lang w:val="en-US"/>
                </w:rPr>
              </m:ctrlPr>
            </m:sSupPr>
            <m:e>
              <m:r>
                <m:rPr>
                  <m:sty m:val="p"/>
                </m:rPr>
                <w:rPr>
                  <w:rFonts w:ascii="Cambria Math" w:hAnsi="Cambria Math" w:cstheme="minorHAnsi"/>
                  <w:lang w:val="en-US"/>
                </w:rPr>
                <m:t>[</m:t>
              </m:r>
              <m:nary>
                <m:naryPr>
                  <m:chr m:val="∏"/>
                  <m:limLoc m:val="undOvr"/>
                  <m:ctrlPr>
                    <w:rPr>
                      <w:rFonts w:ascii="Cambria Math" w:hAnsi="Cambria Math" w:cstheme="minorHAnsi"/>
                      <w:lang w:val="en-US"/>
                    </w:rPr>
                  </m:ctrlPr>
                </m:naryPr>
                <m:sub>
                  <m:r>
                    <m:rPr>
                      <m:sty m:val="p"/>
                    </m:rPr>
                    <w:rPr>
                      <w:rFonts w:ascii="Cambria Math" w:hAnsi="Cambria Math" w:cstheme="minorHAnsi"/>
                      <w:lang w:val="en-US"/>
                    </w:rPr>
                    <m:t>m=1</m:t>
                  </m:r>
                </m:sub>
                <m:sup>
                  <m:r>
                    <m:rPr>
                      <m:sty m:val="p"/>
                    </m:rPr>
                    <w:rPr>
                      <w:rFonts w:ascii="Cambria Math" w:hAnsi="Cambria Math" w:cstheme="minorHAnsi"/>
                      <w:lang w:val="en-US"/>
                    </w:rPr>
                    <m:t>36</m:t>
                  </m:r>
                </m:sup>
                <m:e>
                  <m:r>
                    <m:rPr>
                      <m:sty m:val="p"/>
                    </m:rPr>
                    <w:rPr>
                      <w:rFonts w:ascii="Cambria Math" w:hAnsi="Cambria Math" w:cstheme="minorHAnsi"/>
                      <w:lang w:val="en-US"/>
                    </w:rPr>
                    <m:t xml:space="preserve">(1 + </m:t>
                  </m:r>
                  <m:sSub>
                    <m:sSubPr>
                      <m:ctrlPr>
                        <w:rPr>
                          <w:rFonts w:ascii="Cambria Math" w:hAnsi="Cambria Math" w:cstheme="minorHAnsi"/>
                          <w:lang w:val="en-US"/>
                        </w:rPr>
                      </m:ctrlPr>
                    </m:sSubPr>
                    <m:e>
                      <m:r>
                        <m:rPr>
                          <m:sty m:val="p"/>
                        </m:rPr>
                        <w:rPr>
                          <w:rFonts w:ascii="Cambria Math" w:hAnsi="Cambria Math" w:cstheme="minorHAnsi"/>
                          <w:lang w:val="en-US"/>
                        </w:rPr>
                        <m:t>e</m:t>
                      </m:r>
                    </m:e>
                    <m:sub>
                      <m:r>
                        <m:rPr>
                          <m:sty m:val="p"/>
                        </m:rPr>
                        <w:rPr>
                          <w:rFonts w:ascii="Cambria Math" w:hAnsi="Cambria Math" w:cstheme="minorHAnsi"/>
                          <w:lang w:val="en-US"/>
                        </w:rPr>
                        <m:t>m</m:t>
                      </m:r>
                    </m:sub>
                  </m:sSub>
                  <m:r>
                    <m:rPr>
                      <m:sty m:val="p"/>
                    </m:rPr>
                    <w:rPr>
                      <w:rFonts w:ascii="Cambria Math" w:hAnsi="Cambria Math" w:cstheme="minorHAnsi"/>
                      <w:lang w:val="en-US"/>
                    </w:rPr>
                    <m:t>)</m:t>
                  </m:r>
                </m:e>
              </m:nary>
              <m:r>
                <m:rPr>
                  <m:sty m:val="p"/>
                </m:rPr>
                <w:rPr>
                  <w:rFonts w:ascii="Cambria Math" w:hAnsi="Cambria Math" w:cstheme="minorHAnsi"/>
                  <w:lang w:val="en-US"/>
                </w:rPr>
                <m:t>]</m:t>
              </m:r>
            </m:e>
            <m:sup>
              <m:r>
                <m:rPr>
                  <m:sty m:val="p"/>
                </m:rPr>
                <w:rPr>
                  <w:rFonts w:ascii="Cambria Math" w:hAnsi="Cambria Math" w:cstheme="minorHAnsi"/>
                  <w:lang w:val="en-US"/>
                </w:rPr>
                <m:t>12/36</m:t>
              </m:r>
            </m:sup>
          </m:sSup>
          <m:r>
            <m:rPr>
              <m:sty m:val="p"/>
            </m:rPr>
            <w:rPr>
              <w:rFonts w:ascii="Cambria Math" w:hAnsi="Cambria Math" w:cstheme="minorHAnsi"/>
              <w:lang w:val="en-US"/>
            </w:rPr>
            <m:t xml:space="preserve"> - 1</m:t>
          </m:r>
        </m:oMath>
      </m:oMathPara>
    </w:p>
    <w:p w14:paraId="4245B4C0" w14:textId="63B60080" w:rsidR="009F5BBD" w:rsidRPr="006D455A" w:rsidRDefault="009F5BBD" w:rsidP="006D455A">
      <w:pPr>
        <w:jc w:val="both"/>
        <w:rPr>
          <w:rFonts w:asciiTheme="minorHAnsi" w:hAnsiTheme="minorHAnsi" w:cstheme="minorHAnsi"/>
          <w:lang w:val="en-US"/>
        </w:rPr>
      </w:pPr>
      <m:oMathPara>
        <m:oMath>
          <m:sSub>
            <m:sSubPr>
              <m:ctrlPr>
                <w:rPr>
                  <w:rFonts w:ascii="Cambria Math" w:hAnsi="Cambria Math" w:cstheme="minorHAnsi"/>
                  <w:lang w:val="en-US"/>
                </w:rPr>
              </m:ctrlPr>
            </m:sSubPr>
            <m:e>
              <m:r>
                <m:rPr>
                  <m:sty m:val="p"/>
                </m:rPr>
                <w:rPr>
                  <w:rFonts w:ascii="Cambria Math" w:hAnsi="Cambria Math" w:cstheme="minorHAnsi"/>
                  <w:lang w:val="en-US"/>
                </w:rPr>
                <m:t>E</m:t>
              </m:r>
            </m:e>
            <m:sub>
              <m:r>
                <m:rPr>
                  <m:sty m:val="p"/>
                </m:rPr>
                <w:rPr>
                  <w:rFonts w:ascii="Cambria Math" w:hAnsi="Cambria Math" w:cstheme="minorHAnsi"/>
                  <w:lang w:val="en-US"/>
                </w:rPr>
                <m:t>anual</m:t>
              </m:r>
            </m:sub>
          </m:sSub>
          <m:r>
            <m:rPr>
              <m:sty m:val="p"/>
            </m:rPr>
            <w:rPr>
              <w:rFonts w:ascii="Cambria Math" w:hAnsi="Cambria Math" w:cstheme="minorHAnsi"/>
              <w:lang w:val="en-US"/>
            </w:rPr>
            <m:t xml:space="preserve"> = </m:t>
          </m:r>
          <m:sSup>
            <m:sSupPr>
              <m:ctrlPr>
                <w:rPr>
                  <w:rFonts w:ascii="Cambria Math" w:hAnsi="Cambria Math" w:cstheme="minorHAnsi"/>
                  <w:lang w:val="en-US"/>
                </w:rPr>
              </m:ctrlPr>
            </m:sSupPr>
            <m:e>
              <m:r>
                <m:rPr>
                  <m:sty m:val="p"/>
                </m:rPr>
                <w:rPr>
                  <w:rFonts w:ascii="Cambria Math" w:hAnsi="Cambria Math" w:cstheme="minorHAnsi"/>
                  <w:lang w:val="en-US"/>
                </w:rPr>
                <m:t>[</m:t>
              </m:r>
              <m:f>
                <m:fPr>
                  <m:ctrlPr>
                    <w:rPr>
                      <w:rFonts w:ascii="Cambria Math" w:hAnsi="Cambria Math" w:cstheme="minorHAnsi"/>
                      <w:lang w:val="en-US"/>
                    </w:rPr>
                  </m:ctrlPr>
                </m:fPr>
                <m:num>
                  <m:r>
                    <m:rPr>
                      <m:sty m:val="p"/>
                    </m:rPr>
                    <w:rPr>
                      <w:rFonts w:ascii="Cambria Math" w:hAnsi="Cambria Math" w:cstheme="minorHAnsi"/>
                      <w:lang w:val="en-US"/>
                    </w:rPr>
                    <m:t xml:space="preserve">1 + </m:t>
                  </m:r>
                  <m:sSub>
                    <m:sSubPr>
                      <m:ctrlPr>
                        <w:rPr>
                          <w:rFonts w:ascii="Cambria Math" w:hAnsi="Cambria Math" w:cstheme="minorHAnsi"/>
                          <w:lang w:val="en-US"/>
                        </w:rPr>
                      </m:ctrlPr>
                    </m:sSubPr>
                    <m:e>
                      <m:r>
                        <m:rPr>
                          <m:sty m:val="p"/>
                        </m:rPr>
                        <w:rPr>
                          <w:rFonts w:ascii="Cambria Math" w:hAnsi="Cambria Math" w:cstheme="minorHAnsi"/>
                          <w:lang w:val="en-US"/>
                        </w:rPr>
                        <m:t>R</m:t>
                      </m:r>
                    </m:e>
                    <m:sub>
                      <m:r>
                        <m:rPr>
                          <m:sty m:val="p"/>
                        </m:rPr>
                        <w:rPr>
                          <w:rFonts w:ascii="Cambria Math" w:hAnsi="Cambria Math" w:cstheme="minorHAnsi"/>
                          <w:lang w:val="en-US"/>
                        </w:rPr>
                        <m:t>fundo, 36m</m:t>
                      </m:r>
                    </m:sub>
                  </m:sSub>
                </m:num>
                <m:den>
                  <m:r>
                    <m:rPr>
                      <m:sty m:val="p"/>
                    </m:rPr>
                    <w:rPr>
                      <w:rFonts w:ascii="Cambria Math" w:hAnsi="Cambria Math" w:cstheme="minorHAnsi"/>
                      <w:lang w:val="en-US"/>
                    </w:rPr>
                    <m:t xml:space="preserve">1 + </m:t>
                  </m:r>
                  <m:sSub>
                    <m:sSubPr>
                      <m:ctrlPr>
                        <w:rPr>
                          <w:rFonts w:ascii="Cambria Math" w:hAnsi="Cambria Math" w:cstheme="minorHAnsi"/>
                          <w:lang w:val="en-US"/>
                        </w:rPr>
                      </m:ctrlPr>
                    </m:sSubPr>
                    <m:e>
                      <m:r>
                        <m:rPr>
                          <m:sty m:val="p"/>
                        </m:rPr>
                        <w:rPr>
                          <w:rFonts w:ascii="Cambria Math" w:hAnsi="Cambria Math" w:cstheme="minorHAnsi"/>
                          <w:lang w:val="en-US"/>
                        </w:rPr>
                        <m:t>R</m:t>
                      </m:r>
                    </m:e>
                    <m:sub>
                      <m:r>
                        <m:rPr>
                          <m:sty m:val="p"/>
                        </m:rPr>
                        <w:rPr>
                          <w:rFonts w:ascii="Cambria Math" w:hAnsi="Cambria Math" w:cstheme="minorHAnsi"/>
                          <w:lang w:val="en-US"/>
                        </w:rPr>
                        <m:t>CDI, 36m</m:t>
                      </m:r>
                    </m:sub>
                  </m:sSub>
                </m:den>
              </m:f>
              <m:r>
                <m:rPr>
                  <m:sty m:val="p"/>
                </m:rPr>
                <w:rPr>
                  <w:rFonts w:ascii="Cambria Math" w:hAnsi="Cambria Math" w:cstheme="minorHAnsi"/>
                  <w:lang w:val="en-US"/>
                </w:rPr>
                <m:t>]</m:t>
              </m:r>
            </m:e>
            <m:sup>
              <m:r>
                <m:rPr>
                  <m:sty m:val="p"/>
                </m:rPr>
                <w:rPr>
                  <w:rFonts w:ascii="Cambria Math" w:hAnsi="Cambria Math" w:cstheme="minorHAnsi"/>
                  <w:lang w:val="en-US"/>
                </w:rPr>
                <m:t>1/3</m:t>
              </m:r>
            </m:sup>
          </m:sSup>
          <m:r>
            <m:rPr>
              <m:sty m:val="p"/>
            </m:rPr>
            <w:rPr>
              <w:rFonts w:ascii="Cambria Math" w:hAnsi="Cambria Math" w:cstheme="minorHAnsi"/>
              <w:lang w:val="en-US"/>
            </w:rPr>
            <m:t xml:space="preserve"> - 1</m:t>
          </m:r>
        </m:oMath>
      </m:oMathPara>
    </w:p>
    <w:p w14:paraId="07340AB6" w14:textId="77777777" w:rsidR="009F5BBD" w:rsidRPr="006D455A" w:rsidRDefault="009F5BBD" w:rsidP="006D455A">
      <w:pPr>
        <w:jc w:val="both"/>
        <w:rPr>
          <w:rFonts w:asciiTheme="minorHAnsi" w:hAnsiTheme="minorHAnsi" w:cstheme="minorHAnsi"/>
        </w:rPr>
      </w:pPr>
      <w:r w:rsidRPr="006D455A">
        <w:rPr>
          <w:rFonts w:asciiTheme="minorHAnsi" w:hAnsiTheme="minorHAnsi" w:cstheme="minorHAnsi"/>
        </w:rPr>
        <w:t>Essa medida não é spread de crédito nem diferença simples entre taxas anualizadas. Nas fichas individuais, a mesma fórmula é aplicada a janelas móveis de 36 meses completos e consecutivos, apenas como diagnóstico. Somente a janela comum entra no score.</w:t>
      </w:r>
    </w:p>
    <w:p w14:paraId="728B9D3D" w14:textId="77777777" w:rsidR="009F5BBD" w:rsidRPr="006D455A" w:rsidRDefault="009F5BBD" w:rsidP="006D455A">
      <w:pPr>
        <w:jc w:val="both"/>
        <w:rPr>
          <w:rFonts w:asciiTheme="minorHAnsi" w:hAnsiTheme="minorHAnsi" w:cstheme="minorHAnsi"/>
          <w:b/>
          <w:bCs/>
        </w:rPr>
      </w:pPr>
      <w:r w:rsidRPr="006D455A">
        <w:rPr>
          <w:rFonts w:asciiTheme="minorHAnsi" w:hAnsiTheme="minorHAnsi" w:cstheme="minorHAnsi"/>
          <w:b/>
          <w:bCs/>
        </w:rPr>
        <w:t>Drawdown e volatilidade</w:t>
      </w:r>
    </w:p>
    <w:p w14:paraId="711C250B" w14:textId="77777777" w:rsidR="009F5BBD" w:rsidRPr="006D455A" w:rsidRDefault="009F5BBD" w:rsidP="006D455A">
      <w:pPr>
        <w:jc w:val="both"/>
        <w:rPr>
          <w:rFonts w:asciiTheme="minorHAnsi" w:hAnsiTheme="minorHAnsi" w:cstheme="minorHAnsi"/>
          <w:lang w:val="en-US"/>
        </w:rPr>
      </w:pPr>
      <w:r w:rsidRPr="006D455A">
        <w:rPr>
          <w:rFonts w:asciiTheme="minorHAnsi" w:hAnsiTheme="minorHAnsi" w:cstheme="minorHAnsi"/>
        </w:rPr>
        <w:t xml:space="preserve">O índice acumulado de excesso começa em 1. O </w:t>
      </w:r>
      <w:proofErr w:type="spellStart"/>
      <w:r w:rsidRPr="006D455A">
        <w:rPr>
          <w:rFonts w:asciiTheme="minorHAnsi" w:hAnsiTheme="minorHAnsi" w:cstheme="minorHAnsi"/>
        </w:rPr>
        <w:t>drawdown</w:t>
      </w:r>
      <w:proofErr w:type="spellEnd"/>
      <w:r w:rsidRPr="006D455A">
        <w:rPr>
          <w:rFonts w:asciiTheme="minorHAnsi" w:hAnsiTheme="minorHAnsi" w:cstheme="minorHAnsi"/>
        </w:rPr>
        <w:t xml:space="preserve"> é a queda em relação ao máximo anterior, incluindo esse valor inicial. </w:t>
      </w:r>
      <w:r w:rsidRPr="006D455A">
        <w:rPr>
          <w:rFonts w:asciiTheme="minorHAnsi" w:hAnsiTheme="minorHAnsi" w:cstheme="minorHAnsi"/>
          <w:lang w:val="en-US"/>
        </w:rPr>
        <w:t xml:space="preserve">O </w:t>
      </w:r>
      <w:proofErr w:type="spellStart"/>
      <w:r w:rsidRPr="006D455A">
        <w:rPr>
          <w:rFonts w:asciiTheme="minorHAnsi" w:hAnsiTheme="minorHAnsi" w:cstheme="minorHAnsi"/>
          <w:lang w:val="en-US"/>
        </w:rPr>
        <w:t>pior</w:t>
      </w:r>
      <w:proofErr w:type="spellEnd"/>
      <w:r w:rsidRPr="006D455A">
        <w:rPr>
          <w:rFonts w:asciiTheme="minorHAnsi" w:hAnsiTheme="minorHAnsi" w:cstheme="minorHAnsi"/>
          <w:lang w:val="en-US"/>
        </w:rPr>
        <w:t xml:space="preserve"> drawdown é </w:t>
      </w:r>
      <w:proofErr w:type="spellStart"/>
      <w:r w:rsidRPr="006D455A">
        <w:rPr>
          <w:rFonts w:asciiTheme="minorHAnsi" w:hAnsiTheme="minorHAnsi" w:cstheme="minorHAnsi"/>
          <w:lang w:val="en-US"/>
        </w:rPr>
        <w:t>registrado</w:t>
      </w:r>
      <w:proofErr w:type="spellEnd"/>
      <w:r w:rsidRPr="006D455A">
        <w:rPr>
          <w:rFonts w:asciiTheme="minorHAnsi" w:hAnsiTheme="minorHAnsi" w:cstheme="minorHAnsi"/>
          <w:lang w:val="en-US"/>
        </w:rPr>
        <w:t xml:space="preserve"> </w:t>
      </w:r>
      <w:proofErr w:type="spellStart"/>
      <w:r w:rsidRPr="006D455A">
        <w:rPr>
          <w:rFonts w:asciiTheme="minorHAnsi" w:hAnsiTheme="minorHAnsi" w:cstheme="minorHAnsi"/>
          <w:lang w:val="en-US"/>
        </w:rPr>
        <w:t>como</w:t>
      </w:r>
      <w:proofErr w:type="spellEnd"/>
      <w:r w:rsidRPr="006D455A">
        <w:rPr>
          <w:rFonts w:asciiTheme="minorHAnsi" w:hAnsiTheme="minorHAnsi" w:cstheme="minorHAnsi"/>
          <w:lang w:val="en-US"/>
        </w:rPr>
        <w:t xml:space="preserve"> valor </w:t>
      </w:r>
      <w:proofErr w:type="spellStart"/>
      <w:proofErr w:type="gramStart"/>
      <w:r w:rsidRPr="006D455A">
        <w:rPr>
          <w:rFonts w:asciiTheme="minorHAnsi" w:hAnsiTheme="minorHAnsi" w:cstheme="minorHAnsi"/>
          <w:lang w:val="en-US"/>
        </w:rPr>
        <w:t>não</w:t>
      </w:r>
      <w:proofErr w:type="spellEnd"/>
      <w:proofErr w:type="gramEnd"/>
      <w:r w:rsidRPr="006D455A">
        <w:rPr>
          <w:rFonts w:asciiTheme="minorHAnsi" w:hAnsiTheme="minorHAnsi" w:cstheme="minorHAnsi"/>
          <w:lang w:val="en-US"/>
        </w:rPr>
        <w:t xml:space="preserve"> </w:t>
      </w:r>
      <w:proofErr w:type="spellStart"/>
      <w:r w:rsidRPr="006D455A">
        <w:rPr>
          <w:rFonts w:asciiTheme="minorHAnsi" w:hAnsiTheme="minorHAnsi" w:cstheme="minorHAnsi"/>
          <w:lang w:val="en-US"/>
        </w:rPr>
        <w:t>positivo</w:t>
      </w:r>
      <w:proofErr w:type="spellEnd"/>
      <w:r w:rsidRPr="006D455A">
        <w:rPr>
          <w:rFonts w:asciiTheme="minorHAnsi" w:hAnsiTheme="minorHAnsi" w:cstheme="minorHAnsi"/>
          <w:lang w:val="en-US"/>
        </w:rPr>
        <w:t>:</w:t>
      </w:r>
    </w:p>
    <w:p w14:paraId="5FC608D0" w14:textId="2D7CE82E" w:rsidR="009F5BBD" w:rsidRPr="006D455A" w:rsidRDefault="009F5BBD" w:rsidP="006D455A">
      <w:pPr>
        <w:jc w:val="both"/>
        <w:rPr>
          <w:rFonts w:asciiTheme="minorHAnsi" w:hAnsiTheme="minorHAnsi" w:cstheme="minorHAnsi"/>
          <w:lang w:val="en-US"/>
        </w:rPr>
      </w:pPr>
      <m:oMathPara>
        <m:oMath>
          <m:sSub>
            <m:sSubPr>
              <m:ctrlPr>
                <w:rPr>
                  <w:rFonts w:ascii="Cambria Math" w:hAnsi="Cambria Math" w:cstheme="minorHAnsi"/>
                  <w:lang w:val="en-US"/>
                </w:rPr>
              </m:ctrlPr>
            </m:sSubPr>
            <m:e>
              <m:r>
                <m:rPr>
                  <m:sty m:val="p"/>
                </m:rPr>
                <w:rPr>
                  <w:rFonts w:ascii="Cambria Math" w:hAnsi="Cambria Math" w:cstheme="minorHAnsi"/>
                  <w:lang w:val="en-US"/>
                </w:rPr>
                <m:t>I</m:t>
              </m:r>
            </m:e>
            <m:sub>
              <m:r>
                <m:rPr>
                  <m:sty m:val="p"/>
                </m:rPr>
                <w:rPr>
                  <w:rFonts w:ascii="Cambria Math" w:hAnsi="Cambria Math" w:cstheme="minorHAnsi"/>
                  <w:lang w:val="en-US"/>
                </w:rPr>
                <m:t>0</m:t>
              </m:r>
            </m:sub>
          </m:sSub>
          <m:r>
            <m:rPr>
              <m:sty m:val="p"/>
            </m:rPr>
            <w:rPr>
              <w:rFonts w:ascii="Cambria Math" w:hAnsi="Cambria Math" w:cstheme="minorHAnsi"/>
              <w:lang w:val="en-US"/>
            </w:rPr>
            <m:t xml:space="preserve"> = 1     </m:t>
          </m:r>
          <m:sSub>
            <m:sSubPr>
              <m:ctrlPr>
                <w:rPr>
                  <w:rFonts w:ascii="Cambria Math" w:hAnsi="Cambria Math" w:cstheme="minorHAnsi"/>
                  <w:lang w:val="en-US"/>
                </w:rPr>
              </m:ctrlPr>
            </m:sSubPr>
            <m:e>
              <m:r>
                <m:rPr>
                  <m:sty m:val="p"/>
                </m:rPr>
                <w:rPr>
                  <w:rFonts w:ascii="Cambria Math" w:hAnsi="Cambria Math" w:cstheme="minorHAnsi"/>
                  <w:lang w:val="en-US"/>
                </w:rPr>
                <m:t>I</m:t>
              </m:r>
            </m:e>
            <m:sub>
              <m:r>
                <m:rPr>
                  <m:sty m:val="p"/>
                </m:rPr>
                <w:rPr>
                  <w:rFonts w:ascii="Cambria Math" w:hAnsi="Cambria Math" w:cstheme="minorHAnsi"/>
                  <w:lang w:val="en-US"/>
                </w:rPr>
                <m:t>m</m:t>
              </m:r>
            </m:sub>
          </m:sSub>
          <m:r>
            <m:rPr>
              <m:sty m:val="p"/>
            </m:rPr>
            <w:rPr>
              <w:rFonts w:ascii="Cambria Math" w:hAnsi="Cambria Math" w:cstheme="minorHAnsi"/>
              <w:lang w:val="en-US"/>
            </w:rPr>
            <m:t xml:space="preserve"> = </m:t>
          </m:r>
          <m:nary>
            <m:naryPr>
              <m:chr m:val="∏"/>
              <m:limLoc m:val="undOvr"/>
              <m:ctrlPr>
                <w:rPr>
                  <w:rFonts w:ascii="Cambria Math" w:hAnsi="Cambria Math" w:cstheme="minorHAnsi"/>
                  <w:lang w:val="en-US"/>
                </w:rPr>
              </m:ctrlPr>
            </m:naryPr>
            <m:sub>
              <m:r>
                <m:rPr>
                  <m:sty m:val="p"/>
                </m:rPr>
                <w:rPr>
                  <w:rFonts w:ascii="Cambria Math" w:hAnsi="Cambria Math" w:cstheme="minorHAnsi"/>
                  <w:lang w:val="en-US"/>
                </w:rPr>
                <m:t>j=1</m:t>
              </m:r>
            </m:sub>
            <m:sup>
              <m:r>
                <m:rPr>
                  <m:sty m:val="p"/>
                </m:rPr>
                <w:rPr>
                  <w:rFonts w:ascii="Cambria Math" w:hAnsi="Cambria Math" w:cstheme="minorHAnsi"/>
                  <w:lang w:val="en-US"/>
                </w:rPr>
                <m:t>m</m:t>
              </m:r>
            </m:sup>
            <m:e>
              <m:r>
                <m:rPr>
                  <m:sty m:val="p"/>
                </m:rPr>
                <w:rPr>
                  <w:rFonts w:ascii="Cambria Math" w:hAnsi="Cambria Math" w:cstheme="minorHAnsi"/>
                  <w:lang w:val="en-US"/>
                </w:rPr>
                <m:t xml:space="preserve">(1 + </m:t>
              </m:r>
              <m:sSub>
                <m:sSubPr>
                  <m:ctrlPr>
                    <w:rPr>
                      <w:rFonts w:ascii="Cambria Math" w:hAnsi="Cambria Math" w:cstheme="minorHAnsi"/>
                      <w:lang w:val="en-US"/>
                    </w:rPr>
                  </m:ctrlPr>
                </m:sSubPr>
                <m:e>
                  <m:r>
                    <m:rPr>
                      <m:sty m:val="p"/>
                    </m:rPr>
                    <w:rPr>
                      <w:rFonts w:ascii="Cambria Math" w:hAnsi="Cambria Math" w:cstheme="minorHAnsi"/>
                      <w:lang w:val="en-US"/>
                    </w:rPr>
                    <m:t>e</m:t>
                  </m:r>
                </m:e>
                <m:sub>
                  <m:r>
                    <m:rPr>
                      <m:sty m:val="p"/>
                    </m:rPr>
                    <w:rPr>
                      <w:rFonts w:ascii="Cambria Math" w:hAnsi="Cambria Math" w:cstheme="minorHAnsi"/>
                      <w:lang w:val="en-US"/>
                    </w:rPr>
                    <m:t>j</m:t>
                  </m:r>
                </m:sub>
              </m:sSub>
              <m:r>
                <m:rPr>
                  <m:sty m:val="p"/>
                </m:rPr>
                <w:rPr>
                  <w:rFonts w:ascii="Cambria Math" w:hAnsi="Cambria Math" w:cstheme="minorHAnsi"/>
                  <w:lang w:val="en-US"/>
                </w:rPr>
                <m:t>)</m:t>
              </m:r>
            </m:e>
          </m:nary>
        </m:oMath>
      </m:oMathPara>
    </w:p>
    <w:p w14:paraId="4B4CEA1B" w14:textId="44242345" w:rsidR="009F5BBD" w:rsidRPr="006D455A" w:rsidRDefault="009F5BBD" w:rsidP="006D455A">
      <w:pPr>
        <w:jc w:val="both"/>
        <w:rPr>
          <w:rFonts w:asciiTheme="minorHAnsi" w:hAnsiTheme="minorHAnsi" w:cstheme="minorHAnsi"/>
          <w:lang w:val="en-US"/>
        </w:rPr>
      </w:pPr>
      <m:oMathPara>
        <m:oMath>
          <m:sSub>
            <m:sSubPr>
              <m:ctrlPr>
                <w:rPr>
                  <w:rFonts w:ascii="Cambria Math" w:hAnsi="Cambria Math" w:cstheme="minorHAnsi"/>
                  <w:lang w:val="en-US"/>
                </w:rPr>
              </m:ctrlPr>
            </m:sSubPr>
            <m:e>
              <m:r>
                <m:rPr>
                  <m:sty m:val="p"/>
                </m:rPr>
                <w:rPr>
                  <w:rFonts w:ascii="Cambria Math" w:hAnsi="Cambria Math" w:cstheme="minorHAnsi"/>
                  <w:lang w:val="en-US"/>
                </w:rPr>
                <m:t>DD</m:t>
              </m:r>
            </m:e>
            <m:sub>
              <m:r>
                <m:rPr>
                  <m:sty m:val="p"/>
                </m:rPr>
                <w:rPr>
                  <w:rFonts w:ascii="Cambria Math" w:hAnsi="Cambria Math" w:cstheme="minorHAnsi"/>
                  <w:lang w:val="en-US"/>
                </w:rPr>
                <m:t>m</m:t>
              </m:r>
            </m:sub>
          </m:sSub>
          <m:r>
            <m:rPr>
              <m:sty m:val="p"/>
            </m:rPr>
            <w:rPr>
              <w:rFonts w:ascii="Cambria Math" w:hAnsi="Cambria Math" w:cstheme="minorHAnsi"/>
              <w:lang w:val="en-US"/>
            </w:rPr>
            <m:t xml:space="preserve"> = </m:t>
          </m:r>
          <m:f>
            <m:fPr>
              <m:ctrlPr>
                <w:rPr>
                  <w:rFonts w:ascii="Cambria Math" w:hAnsi="Cambria Math" w:cstheme="minorHAnsi"/>
                  <w:lang w:val="en-US"/>
                </w:rPr>
              </m:ctrlPr>
            </m:fPr>
            <m:num>
              <m:sSub>
                <m:sSubPr>
                  <m:ctrlPr>
                    <w:rPr>
                      <w:rFonts w:ascii="Cambria Math" w:hAnsi="Cambria Math" w:cstheme="minorHAnsi"/>
                      <w:lang w:val="en-US"/>
                    </w:rPr>
                  </m:ctrlPr>
                </m:sSubPr>
                <m:e>
                  <m:r>
                    <m:rPr>
                      <m:sty m:val="p"/>
                    </m:rPr>
                    <w:rPr>
                      <w:rFonts w:ascii="Cambria Math" w:hAnsi="Cambria Math" w:cstheme="minorHAnsi"/>
                      <w:lang w:val="en-US"/>
                    </w:rPr>
                    <m:t>I</m:t>
                  </m:r>
                </m:e>
                <m:sub>
                  <m:r>
                    <m:rPr>
                      <m:sty m:val="p"/>
                    </m:rPr>
                    <w:rPr>
                      <w:rFonts w:ascii="Cambria Math" w:hAnsi="Cambria Math" w:cstheme="minorHAnsi"/>
                      <w:lang w:val="en-US"/>
                    </w:rPr>
                    <m:t>m</m:t>
                  </m:r>
                </m:sub>
              </m:sSub>
            </m:num>
            <m:den>
              <m:sSub>
                <m:sSubPr>
                  <m:ctrlPr>
                    <w:rPr>
                      <w:rFonts w:ascii="Cambria Math" w:hAnsi="Cambria Math" w:cstheme="minorHAnsi"/>
                      <w:lang w:val="en-US"/>
                    </w:rPr>
                  </m:ctrlPr>
                </m:sSubPr>
                <m:e>
                  <m:r>
                    <m:rPr>
                      <m:sty m:val="p"/>
                    </m:rPr>
                    <w:rPr>
                      <w:rFonts w:ascii="Cambria Math" w:hAnsi="Cambria Math" w:cstheme="minorHAnsi"/>
                      <w:lang w:val="en-US"/>
                    </w:rPr>
                    <m:t>max</m:t>
                  </m:r>
                </m:e>
                <m:sub>
                  <m:r>
                    <m:rPr>
                      <m:sty m:val="p"/>
                    </m:rPr>
                    <w:rPr>
                      <w:rFonts w:ascii="Cambria Math" w:hAnsi="Cambria Math" w:cstheme="minorHAnsi"/>
                      <w:lang w:val="en-US"/>
                    </w:rPr>
                    <m:t>0 ≤ j ≤ m</m:t>
                  </m:r>
                </m:sub>
              </m:sSub>
              <m:r>
                <m:rPr>
                  <m:sty m:val="p"/>
                </m:rPr>
                <w:rPr>
                  <w:rFonts w:ascii="Cambria Math" w:hAnsi="Cambria Math" w:cstheme="minorHAnsi"/>
                  <w:lang w:val="en-US"/>
                </w:rPr>
                <m:t xml:space="preserve"> </m:t>
              </m:r>
              <m:sSub>
                <m:sSubPr>
                  <m:ctrlPr>
                    <w:rPr>
                      <w:rFonts w:ascii="Cambria Math" w:hAnsi="Cambria Math" w:cstheme="minorHAnsi"/>
                      <w:lang w:val="en-US"/>
                    </w:rPr>
                  </m:ctrlPr>
                </m:sSubPr>
                <m:e>
                  <m:r>
                    <m:rPr>
                      <m:sty m:val="p"/>
                    </m:rPr>
                    <w:rPr>
                      <w:rFonts w:ascii="Cambria Math" w:hAnsi="Cambria Math" w:cstheme="minorHAnsi"/>
                      <w:lang w:val="en-US"/>
                    </w:rPr>
                    <m:t>I</m:t>
                  </m:r>
                </m:e>
                <m:sub>
                  <m:r>
                    <m:rPr>
                      <m:sty m:val="p"/>
                    </m:rPr>
                    <w:rPr>
                      <w:rFonts w:ascii="Cambria Math" w:hAnsi="Cambria Math" w:cstheme="minorHAnsi"/>
                      <w:lang w:val="en-US"/>
                    </w:rPr>
                    <m:t>j</m:t>
                  </m:r>
                </m:sub>
              </m:sSub>
            </m:den>
          </m:f>
          <m:r>
            <m:rPr>
              <m:sty m:val="p"/>
            </m:rPr>
            <w:rPr>
              <w:rFonts w:ascii="Cambria Math" w:hAnsi="Cambria Math" w:cstheme="minorHAnsi"/>
              <w:lang w:val="en-US"/>
            </w:rPr>
            <m:t xml:space="preserve"> - 1     </m:t>
          </m:r>
          <m:sSub>
            <m:sSubPr>
              <m:ctrlPr>
                <w:rPr>
                  <w:rFonts w:ascii="Cambria Math" w:hAnsi="Cambria Math" w:cstheme="minorHAnsi"/>
                  <w:lang w:val="en-US"/>
                </w:rPr>
              </m:ctrlPr>
            </m:sSubPr>
            <m:e>
              <m:r>
                <m:rPr>
                  <m:sty m:val="p"/>
                </m:rPr>
                <w:rPr>
                  <w:rFonts w:ascii="Cambria Math" w:hAnsi="Cambria Math" w:cstheme="minorHAnsi"/>
                  <w:lang w:val="en-US"/>
                </w:rPr>
                <m:t>DD</m:t>
              </m:r>
            </m:e>
            <m:sub>
              <m:r>
                <m:rPr>
                  <m:sty m:val="p"/>
                </m:rPr>
                <w:rPr>
                  <w:rFonts w:ascii="Cambria Math" w:hAnsi="Cambria Math" w:cstheme="minorHAnsi"/>
                  <w:lang w:val="en-US"/>
                </w:rPr>
                <m:t>máximo</m:t>
              </m:r>
            </m:sub>
          </m:sSub>
          <m:r>
            <m:rPr>
              <m:sty m:val="p"/>
            </m:rPr>
            <w:rPr>
              <w:rFonts w:ascii="Cambria Math" w:hAnsi="Cambria Math" w:cstheme="minorHAnsi"/>
              <w:lang w:val="en-US"/>
            </w:rPr>
            <m:t xml:space="preserve"> = </m:t>
          </m:r>
          <m:sSub>
            <m:sSubPr>
              <m:ctrlPr>
                <w:rPr>
                  <w:rFonts w:ascii="Cambria Math" w:hAnsi="Cambria Math" w:cstheme="minorHAnsi"/>
                  <w:lang w:val="en-US"/>
                </w:rPr>
              </m:ctrlPr>
            </m:sSubPr>
            <m:e>
              <m:r>
                <m:rPr>
                  <m:sty m:val="p"/>
                </m:rPr>
                <w:rPr>
                  <w:rFonts w:ascii="Cambria Math" w:hAnsi="Cambria Math" w:cstheme="minorHAnsi"/>
                  <w:lang w:val="en-US"/>
                </w:rPr>
                <m:t>min</m:t>
              </m:r>
            </m:e>
            <m:sub>
              <m:r>
                <m:rPr>
                  <m:sty m:val="p"/>
                </m:rPr>
                <w:rPr>
                  <w:rFonts w:ascii="Cambria Math" w:hAnsi="Cambria Math" w:cstheme="minorHAnsi"/>
                  <w:lang w:val="en-US"/>
                </w:rPr>
                <m:t>1 ≤ m ≤ 36</m:t>
              </m:r>
            </m:sub>
          </m:sSub>
          <m:r>
            <m:rPr>
              <m:sty m:val="p"/>
            </m:rPr>
            <w:rPr>
              <w:rFonts w:ascii="Cambria Math" w:hAnsi="Cambria Math" w:cstheme="minorHAnsi"/>
              <w:lang w:val="en-US"/>
            </w:rPr>
            <m:t xml:space="preserve"> </m:t>
          </m:r>
          <m:sSub>
            <m:sSubPr>
              <m:ctrlPr>
                <w:rPr>
                  <w:rFonts w:ascii="Cambria Math" w:hAnsi="Cambria Math" w:cstheme="minorHAnsi"/>
                  <w:lang w:val="en-US"/>
                </w:rPr>
              </m:ctrlPr>
            </m:sSubPr>
            <m:e>
              <m:r>
                <m:rPr>
                  <m:sty m:val="p"/>
                </m:rPr>
                <w:rPr>
                  <w:rFonts w:ascii="Cambria Math" w:hAnsi="Cambria Math" w:cstheme="minorHAnsi"/>
                  <w:lang w:val="en-US"/>
                </w:rPr>
                <m:t>DD</m:t>
              </m:r>
            </m:e>
            <m:sub>
              <m:r>
                <m:rPr>
                  <m:sty m:val="p"/>
                </m:rPr>
                <w:rPr>
                  <w:rFonts w:ascii="Cambria Math" w:hAnsi="Cambria Math" w:cstheme="minorHAnsi"/>
                  <w:lang w:val="en-US"/>
                </w:rPr>
                <m:t>m</m:t>
              </m:r>
            </m:sub>
          </m:sSub>
        </m:oMath>
      </m:oMathPara>
    </w:p>
    <w:p w14:paraId="60BDDFC7" w14:textId="24FBC093" w:rsidR="009F5BBD" w:rsidRPr="006D455A" w:rsidRDefault="009F5BBD" w:rsidP="006D455A">
      <w:pPr>
        <w:jc w:val="both"/>
        <w:rPr>
          <w:rFonts w:asciiTheme="minorHAnsi" w:hAnsiTheme="minorHAnsi" w:cstheme="minorHAnsi"/>
          <w:lang w:val="en-US"/>
        </w:rPr>
      </w:pPr>
      <m:oMathPara>
        <m:oMath>
          <m:sSub>
            <m:sSubPr>
              <m:ctrlPr>
                <w:rPr>
                  <w:rFonts w:ascii="Cambria Math" w:hAnsi="Cambria Math" w:cstheme="minorHAnsi"/>
                  <w:lang w:val="en-US"/>
                </w:rPr>
              </m:ctrlPr>
            </m:sSubPr>
            <m:e>
              <m:r>
                <m:rPr>
                  <m:sty m:val="p"/>
                </m:rPr>
                <w:rPr>
                  <w:rFonts w:ascii="Cambria Math" w:hAnsi="Cambria Math" w:cstheme="minorHAnsi"/>
                  <w:lang w:val="en-US"/>
                </w:rPr>
                <m:t>σ</m:t>
              </m:r>
            </m:e>
            <m:sub>
              <m:r>
                <m:rPr>
                  <m:sty m:val="p"/>
                </m:rPr>
                <w:rPr>
                  <w:rFonts w:ascii="Cambria Math" w:hAnsi="Cambria Math" w:cstheme="minorHAnsi"/>
                  <w:lang w:val="en-US"/>
                </w:rPr>
                <m:t>anual</m:t>
              </m:r>
            </m:sub>
          </m:sSub>
          <m:r>
            <m:rPr>
              <m:sty m:val="p"/>
            </m:rPr>
            <w:rPr>
              <w:rFonts w:ascii="Cambria Math" w:hAnsi="Cambria Math" w:cstheme="minorHAnsi"/>
              <w:lang w:val="en-US"/>
            </w:rPr>
            <m:t xml:space="preserve"> = sd(</m:t>
          </m:r>
          <m:sSub>
            <m:sSubPr>
              <m:ctrlPr>
                <w:rPr>
                  <w:rFonts w:ascii="Cambria Math" w:hAnsi="Cambria Math" w:cstheme="minorHAnsi"/>
                  <w:lang w:val="en-US"/>
                </w:rPr>
              </m:ctrlPr>
            </m:sSubPr>
            <m:e>
              <m:r>
                <m:rPr>
                  <m:sty m:val="p"/>
                </m:rPr>
                <w:rPr>
                  <w:rFonts w:ascii="Cambria Math" w:hAnsi="Cambria Math" w:cstheme="minorHAnsi"/>
                  <w:lang w:val="en-US"/>
                </w:rPr>
                <m:t>e</m:t>
              </m:r>
            </m:e>
            <m:sub>
              <m:r>
                <m:rPr>
                  <m:sty m:val="p"/>
                </m:rPr>
                <w:rPr>
                  <w:rFonts w:ascii="Cambria Math" w:hAnsi="Cambria Math" w:cstheme="minorHAnsi"/>
                  <w:lang w:val="en-US"/>
                </w:rPr>
                <m:t>1</m:t>
              </m:r>
            </m:sub>
          </m:sSub>
          <m:r>
            <m:rPr>
              <m:sty m:val="p"/>
            </m:rPr>
            <w:rPr>
              <w:rFonts w:ascii="Cambria Math" w:hAnsi="Cambria Math" w:cstheme="minorHAnsi"/>
              <w:lang w:val="en-US"/>
            </w:rPr>
            <m:t xml:space="preserve">, …, </m:t>
          </m:r>
          <m:sSub>
            <m:sSubPr>
              <m:ctrlPr>
                <w:rPr>
                  <w:rFonts w:ascii="Cambria Math" w:hAnsi="Cambria Math" w:cstheme="minorHAnsi"/>
                  <w:lang w:val="en-US"/>
                </w:rPr>
              </m:ctrlPr>
            </m:sSubPr>
            <m:e>
              <m:r>
                <m:rPr>
                  <m:sty m:val="p"/>
                </m:rPr>
                <w:rPr>
                  <w:rFonts w:ascii="Cambria Math" w:hAnsi="Cambria Math" w:cstheme="minorHAnsi"/>
                  <w:lang w:val="en-US"/>
                </w:rPr>
                <m:t>e</m:t>
              </m:r>
            </m:e>
            <m:sub>
              <m:r>
                <m:rPr>
                  <m:sty m:val="p"/>
                </m:rPr>
                <w:rPr>
                  <w:rFonts w:ascii="Cambria Math" w:hAnsi="Cambria Math" w:cstheme="minorHAnsi"/>
                  <w:lang w:val="en-US"/>
                </w:rPr>
                <m:t>36</m:t>
              </m:r>
            </m:sub>
          </m:sSub>
          <m:r>
            <m:rPr>
              <m:sty m:val="p"/>
            </m:rPr>
            <w:rPr>
              <w:rFonts w:ascii="Cambria Math" w:hAnsi="Cambria Math" w:cstheme="minorHAnsi"/>
              <w:lang w:val="en-US"/>
            </w:rPr>
            <m:t xml:space="preserve">) × </m:t>
          </m:r>
          <m:rad>
            <m:radPr>
              <m:degHide m:val="1"/>
              <m:ctrlPr>
                <w:rPr>
                  <w:rFonts w:ascii="Cambria Math" w:hAnsi="Cambria Math" w:cstheme="minorHAnsi"/>
                  <w:lang w:val="en-US"/>
                </w:rPr>
              </m:ctrlPr>
            </m:radPr>
            <m:deg/>
            <m:e>
              <m:r>
                <m:rPr>
                  <m:sty m:val="p"/>
                </m:rPr>
                <w:rPr>
                  <w:rFonts w:ascii="Cambria Math" w:hAnsi="Cambria Math" w:cstheme="minorHAnsi"/>
                  <w:lang w:val="en-US"/>
                </w:rPr>
                <m:t>12</m:t>
              </m:r>
            </m:e>
          </m:rad>
        </m:oMath>
      </m:oMathPara>
    </w:p>
    <w:p w14:paraId="56ED8DB0" w14:textId="037D61F5" w:rsidR="009F5BBD" w:rsidRPr="006D455A" w:rsidRDefault="009F5BBD" w:rsidP="006D455A">
      <w:pPr>
        <w:jc w:val="both"/>
        <w:rPr>
          <w:rFonts w:asciiTheme="minorHAnsi" w:hAnsiTheme="minorHAnsi" w:cstheme="minorHAnsi"/>
        </w:rPr>
      </w:pPr>
      <w:r w:rsidRPr="006D455A">
        <w:rPr>
          <w:rFonts w:asciiTheme="minorHAnsi" w:hAnsiTheme="minorHAnsi" w:cstheme="minorHAnsi"/>
        </w:rPr>
        <w:t>A volatilidade utiliza o desvio-padrão amostral dos excessos mensais. A medida de cauda é a média dos três menores excessos mensais da janela.</w:t>
      </w:r>
    </w:p>
    <w:p w14:paraId="72618C8D" w14:textId="77777777" w:rsidR="009F5BBD" w:rsidRPr="006D455A" w:rsidRDefault="009F5BBD" w:rsidP="006D455A">
      <w:pPr>
        <w:jc w:val="both"/>
        <w:rPr>
          <w:rFonts w:asciiTheme="minorHAnsi" w:hAnsiTheme="minorHAnsi" w:cstheme="minorHAnsi"/>
          <w:b/>
          <w:bCs/>
        </w:rPr>
      </w:pPr>
      <w:r w:rsidRPr="006D455A">
        <w:rPr>
          <w:rFonts w:asciiTheme="minorHAnsi" w:hAnsiTheme="minorHAnsi" w:cstheme="minorHAnsi"/>
          <w:b/>
          <w:bCs/>
        </w:rPr>
        <w:t>Escala robusta e notas</w:t>
      </w:r>
    </w:p>
    <w:p w14:paraId="2359E17B" w14:textId="77777777" w:rsidR="009F5BBD" w:rsidRPr="006D455A" w:rsidRDefault="009F5BBD" w:rsidP="006D455A">
      <w:pPr>
        <w:jc w:val="both"/>
        <w:rPr>
          <w:rFonts w:asciiTheme="minorHAnsi" w:hAnsiTheme="minorHAnsi" w:cstheme="minorHAnsi"/>
        </w:rPr>
      </w:pPr>
      <w:r w:rsidRPr="006D455A">
        <w:rPr>
          <w:rFonts w:asciiTheme="minorHAnsi" w:hAnsiTheme="minorHAnsi" w:cstheme="minorHAnsi"/>
        </w:rPr>
        <w:t>Cada componente é convertido em nota antes da ponderação. Para os valores x</w:t>
      </w:r>
      <w:r w:rsidRPr="006D455A">
        <w:rPr>
          <w:rFonts w:asciiTheme="minorHAnsi" w:hAnsiTheme="minorHAnsi" w:cstheme="minorHAnsi"/>
          <w:lang w:val="en-US"/>
        </w:rPr>
        <w:t>ᵢ</w:t>
      </w:r>
      <w:r w:rsidRPr="006D455A">
        <w:rPr>
          <w:rFonts w:asciiTheme="minorHAnsi" w:hAnsiTheme="minorHAnsi" w:cstheme="minorHAnsi"/>
        </w:rPr>
        <w:t xml:space="preserve"> </w:t>
      </w:r>
      <w:proofErr w:type="spellStart"/>
      <w:r w:rsidRPr="006D455A">
        <w:rPr>
          <w:rFonts w:asciiTheme="minorHAnsi" w:hAnsiTheme="minorHAnsi" w:cstheme="minorHAnsi"/>
        </w:rPr>
        <w:t>da</w:t>
      </w:r>
      <w:proofErr w:type="spellEnd"/>
      <w:r w:rsidRPr="006D455A">
        <w:rPr>
          <w:rFonts w:asciiTheme="minorHAnsi" w:hAnsiTheme="minorHAnsi" w:cstheme="minorHAnsi"/>
        </w:rPr>
        <w:t xml:space="preserve"> métrica entre os fundos elegíveis, o centro e a escala robusta são:</w:t>
      </w:r>
    </w:p>
    <w:p w14:paraId="4A2BE0A8" w14:textId="3C80DFDB" w:rsidR="009F5BBD" w:rsidRPr="006D455A" w:rsidRDefault="009F5BBD" w:rsidP="006D455A">
      <w:pPr>
        <w:jc w:val="both"/>
        <w:rPr>
          <w:rFonts w:asciiTheme="minorHAnsi" w:hAnsiTheme="minorHAnsi" w:cstheme="minorHAnsi"/>
          <w:lang w:val="en-US"/>
        </w:rPr>
      </w:pPr>
      <m:oMathPara>
        <m:oMath>
          <m:sSub>
            <m:sSubPr>
              <m:ctrlPr>
                <w:rPr>
                  <w:rFonts w:ascii="Cambria Math" w:hAnsi="Cambria Math" w:cstheme="minorHAnsi"/>
                  <w:lang w:val="en-US"/>
                </w:rPr>
              </m:ctrlPr>
            </m:sSubPr>
            <m:e>
              <m:r>
                <m:rPr>
                  <m:sty m:val="p"/>
                </m:rPr>
                <w:rPr>
                  <w:rFonts w:ascii="Cambria Math" w:hAnsi="Cambria Math" w:cstheme="minorHAnsi"/>
                  <w:lang w:val="en-US"/>
                </w:rPr>
                <m:t>m</m:t>
              </m:r>
            </m:e>
            <m:sub>
              <m:r>
                <m:rPr>
                  <m:sty m:val="p"/>
                </m:rPr>
                <w:rPr>
                  <w:rFonts w:ascii="Cambria Math" w:hAnsi="Cambria Math" w:cstheme="minorHAnsi"/>
                  <w:lang w:val="en-US"/>
                </w:rPr>
                <m:t>x</m:t>
              </m:r>
            </m:sub>
          </m:sSub>
          <m:r>
            <m:rPr>
              <m:sty m:val="p"/>
            </m:rPr>
            <w:rPr>
              <w:rFonts w:ascii="Cambria Math" w:hAnsi="Cambria Math" w:cstheme="minorHAnsi"/>
              <w:lang w:val="en-US"/>
            </w:rPr>
            <m:t xml:space="preserve"> = mediana(</m:t>
          </m:r>
          <m:sSub>
            <m:sSubPr>
              <m:ctrlPr>
                <w:rPr>
                  <w:rFonts w:ascii="Cambria Math" w:hAnsi="Cambria Math" w:cstheme="minorHAnsi"/>
                  <w:lang w:val="en-US"/>
                </w:rPr>
              </m:ctrlPr>
            </m:sSubPr>
            <m:e>
              <m:r>
                <m:rPr>
                  <m:sty m:val="p"/>
                </m:rPr>
                <w:rPr>
                  <w:rFonts w:ascii="Cambria Math" w:hAnsi="Cambria Math" w:cstheme="minorHAnsi"/>
                  <w:lang w:val="en-US"/>
                </w:rPr>
                <m:t>x</m:t>
              </m:r>
            </m:e>
            <m:sub>
              <m:r>
                <m:rPr>
                  <m:sty m:val="p"/>
                </m:rPr>
                <w:rPr>
                  <w:rFonts w:ascii="Cambria Math" w:hAnsi="Cambria Math" w:cstheme="minorHAnsi"/>
                  <w:lang w:val="en-US"/>
                </w:rPr>
                <m:t>i</m:t>
              </m:r>
            </m:sub>
          </m:sSub>
          <m:r>
            <m:rPr>
              <m:sty m:val="p"/>
            </m:rPr>
            <w:rPr>
              <w:rFonts w:ascii="Cambria Math" w:hAnsi="Cambria Math" w:cstheme="minorHAnsi"/>
              <w:lang w:val="en-US"/>
            </w:rPr>
            <m:t>)</m:t>
          </m:r>
        </m:oMath>
      </m:oMathPara>
    </w:p>
    <w:p w14:paraId="105676FC" w14:textId="31255F7F" w:rsidR="009F5BBD" w:rsidRPr="006D455A" w:rsidRDefault="009F5BBD" w:rsidP="006D455A">
      <w:pPr>
        <w:jc w:val="both"/>
        <w:rPr>
          <w:rFonts w:asciiTheme="minorHAnsi" w:hAnsiTheme="minorHAnsi" w:cstheme="minorHAnsi"/>
          <w:lang w:val="en-US"/>
        </w:rPr>
      </w:pPr>
      <m:oMathPara>
        <m:oMath>
          <m:r>
            <m:rPr>
              <m:sty m:val="p"/>
            </m:rPr>
            <w:rPr>
              <w:rFonts w:ascii="Cambria Math" w:hAnsi="Cambria Math" w:cstheme="minorHAnsi"/>
              <w:lang w:val="en-US"/>
            </w:rPr>
            <m:t>MAD = mediana(|</m:t>
          </m:r>
          <m:sSub>
            <m:sSubPr>
              <m:ctrlPr>
                <w:rPr>
                  <w:rFonts w:ascii="Cambria Math" w:hAnsi="Cambria Math" w:cstheme="minorHAnsi"/>
                  <w:lang w:val="en-US"/>
                </w:rPr>
              </m:ctrlPr>
            </m:sSubPr>
            <m:e>
              <m:r>
                <m:rPr>
                  <m:sty m:val="p"/>
                </m:rPr>
                <w:rPr>
                  <w:rFonts w:ascii="Cambria Math" w:hAnsi="Cambria Math" w:cstheme="minorHAnsi"/>
                  <w:lang w:val="en-US"/>
                </w:rPr>
                <m:t>x</m:t>
              </m:r>
            </m:e>
            <m:sub>
              <m:r>
                <m:rPr>
                  <m:sty m:val="p"/>
                </m:rPr>
                <w:rPr>
                  <w:rFonts w:ascii="Cambria Math" w:hAnsi="Cambria Math" w:cstheme="minorHAnsi"/>
                  <w:lang w:val="en-US"/>
                </w:rPr>
                <m:t>i</m:t>
              </m:r>
            </m:sub>
          </m:sSub>
          <m:r>
            <m:rPr>
              <m:sty m:val="p"/>
            </m:rPr>
            <w:rPr>
              <w:rFonts w:ascii="Cambria Math" w:hAnsi="Cambria Math" w:cstheme="minorHAnsi"/>
              <w:lang w:val="en-US"/>
            </w:rPr>
            <m:t xml:space="preserve"> - </m:t>
          </m:r>
          <m:sSub>
            <m:sSubPr>
              <m:ctrlPr>
                <w:rPr>
                  <w:rFonts w:ascii="Cambria Math" w:hAnsi="Cambria Math" w:cstheme="minorHAnsi"/>
                  <w:lang w:val="en-US"/>
                </w:rPr>
              </m:ctrlPr>
            </m:sSubPr>
            <m:e>
              <m:r>
                <m:rPr>
                  <m:sty m:val="p"/>
                </m:rPr>
                <w:rPr>
                  <w:rFonts w:ascii="Cambria Math" w:hAnsi="Cambria Math" w:cstheme="minorHAnsi"/>
                  <w:lang w:val="en-US"/>
                </w:rPr>
                <m:t>m</m:t>
              </m:r>
            </m:e>
            <m:sub>
              <m:r>
                <m:rPr>
                  <m:sty m:val="p"/>
                </m:rPr>
                <w:rPr>
                  <w:rFonts w:ascii="Cambria Math" w:hAnsi="Cambria Math" w:cstheme="minorHAnsi"/>
                  <w:lang w:val="en-US"/>
                </w:rPr>
                <m:t>x</m:t>
              </m:r>
            </m:sub>
          </m:sSub>
          <m:r>
            <m:rPr>
              <m:sty m:val="p"/>
            </m:rPr>
            <w:rPr>
              <w:rFonts w:ascii="Cambria Math" w:hAnsi="Cambria Math" w:cstheme="minorHAnsi"/>
              <w:lang w:val="en-US"/>
            </w:rPr>
            <m:t>|)     s = 1,4826 × MAD</m:t>
          </m:r>
        </m:oMath>
      </m:oMathPara>
    </w:p>
    <w:p w14:paraId="601F4EE0" w14:textId="77777777" w:rsidR="009F5BBD" w:rsidRPr="006D455A" w:rsidRDefault="009F5BBD" w:rsidP="006D455A">
      <w:pPr>
        <w:jc w:val="both"/>
        <w:rPr>
          <w:rFonts w:asciiTheme="minorHAnsi" w:hAnsiTheme="minorHAnsi" w:cstheme="minorHAnsi"/>
        </w:rPr>
      </w:pPr>
      <w:r w:rsidRPr="006D455A">
        <w:rPr>
          <w:rFonts w:asciiTheme="minorHAnsi" w:hAnsiTheme="minorHAnsi" w:cstheme="minorHAnsi"/>
        </w:rPr>
        <w:t>Para métricas em que maior é melhor, usa-se o z-score positivo. Para métricas em que menor é melhor, inverte-se seu sinal:</w:t>
      </w:r>
    </w:p>
    <w:p w14:paraId="2C21E375" w14:textId="77BB45F0" w:rsidR="009F5BBD" w:rsidRPr="006D455A" w:rsidRDefault="009F5BBD" w:rsidP="006D455A">
      <w:pPr>
        <w:jc w:val="both"/>
        <w:rPr>
          <w:rFonts w:asciiTheme="minorHAnsi" w:hAnsiTheme="minorHAnsi" w:cstheme="minorHAnsi"/>
          <w:lang w:val="en-US"/>
        </w:rPr>
      </w:pPr>
      <m:oMathPara>
        <m:oMath>
          <m:sSub>
            <m:sSubPr>
              <m:ctrlPr>
                <w:rPr>
                  <w:rFonts w:ascii="Cambria Math" w:hAnsi="Cambria Math" w:cstheme="minorHAnsi"/>
                  <w:lang w:val="en-US"/>
                </w:rPr>
              </m:ctrlPr>
            </m:sSubPr>
            <m:e>
              <m:r>
                <m:rPr>
                  <m:sty m:val="p"/>
                </m:rPr>
                <w:rPr>
                  <w:rFonts w:ascii="Cambria Math" w:hAnsi="Cambria Math" w:cstheme="minorHAnsi"/>
                  <w:lang w:val="en-US"/>
                </w:rPr>
                <m:t>z</m:t>
              </m:r>
            </m:e>
            <m:sub>
              <m:r>
                <m:rPr>
                  <m:sty m:val="p"/>
                </m:rPr>
                <w:rPr>
                  <w:rFonts w:ascii="Cambria Math" w:hAnsi="Cambria Math" w:cstheme="minorHAnsi"/>
                  <w:lang w:val="en-US"/>
                </w:rPr>
                <m:t>i</m:t>
              </m:r>
            </m:sub>
          </m:sSub>
          <m:r>
            <m:rPr>
              <m:sty m:val="p"/>
            </m:rPr>
            <w:rPr>
              <w:rFonts w:ascii="Cambria Math" w:hAnsi="Cambria Math" w:cstheme="minorHAnsi"/>
              <w:lang w:val="en-US"/>
            </w:rPr>
            <m:t xml:space="preserve"> = </m:t>
          </m:r>
          <m:f>
            <m:fPr>
              <m:ctrlPr>
                <w:rPr>
                  <w:rFonts w:ascii="Cambria Math" w:hAnsi="Cambria Math" w:cstheme="minorHAnsi"/>
                  <w:lang w:val="en-US"/>
                </w:rPr>
              </m:ctrlPr>
            </m:fPr>
            <m:num>
              <m:sSub>
                <m:sSubPr>
                  <m:ctrlPr>
                    <w:rPr>
                      <w:rFonts w:ascii="Cambria Math" w:hAnsi="Cambria Math" w:cstheme="minorHAnsi"/>
                      <w:lang w:val="en-US"/>
                    </w:rPr>
                  </m:ctrlPr>
                </m:sSubPr>
                <m:e>
                  <m:r>
                    <m:rPr>
                      <m:sty m:val="p"/>
                    </m:rPr>
                    <w:rPr>
                      <w:rFonts w:ascii="Cambria Math" w:hAnsi="Cambria Math" w:cstheme="minorHAnsi"/>
                      <w:lang w:val="en-US"/>
                    </w:rPr>
                    <m:t>x</m:t>
                  </m:r>
                </m:e>
                <m:sub>
                  <m:r>
                    <m:rPr>
                      <m:sty m:val="p"/>
                    </m:rPr>
                    <w:rPr>
                      <w:rFonts w:ascii="Cambria Math" w:hAnsi="Cambria Math" w:cstheme="minorHAnsi"/>
                      <w:lang w:val="en-US"/>
                    </w:rPr>
                    <m:t>i</m:t>
                  </m:r>
                </m:sub>
              </m:sSub>
              <m:r>
                <m:rPr>
                  <m:sty m:val="p"/>
                </m:rPr>
                <w:rPr>
                  <w:rFonts w:ascii="Cambria Math" w:hAnsi="Cambria Math" w:cstheme="minorHAnsi"/>
                  <w:lang w:val="en-US"/>
                </w:rPr>
                <m:t xml:space="preserve"> - </m:t>
              </m:r>
              <m:sSub>
                <m:sSubPr>
                  <m:ctrlPr>
                    <w:rPr>
                      <w:rFonts w:ascii="Cambria Math" w:hAnsi="Cambria Math" w:cstheme="minorHAnsi"/>
                      <w:lang w:val="en-US"/>
                    </w:rPr>
                  </m:ctrlPr>
                </m:sSubPr>
                <m:e>
                  <m:r>
                    <m:rPr>
                      <m:sty m:val="p"/>
                    </m:rPr>
                    <w:rPr>
                      <w:rFonts w:ascii="Cambria Math" w:hAnsi="Cambria Math" w:cstheme="minorHAnsi"/>
                      <w:lang w:val="en-US"/>
                    </w:rPr>
                    <m:t>m</m:t>
                  </m:r>
                </m:e>
                <m:sub>
                  <m:r>
                    <m:rPr>
                      <m:sty m:val="p"/>
                    </m:rPr>
                    <w:rPr>
                      <w:rFonts w:ascii="Cambria Math" w:hAnsi="Cambria Math" w:cstheme="minorHAnsi"/>
                      <w:lang w:val="en-US"/>
                    </w:rPr>
                    <m:t>x</m:t>
                  </m:r>
                </m:sub>
              </m:sSub>
            </m:num>
            <m:den>
              <m:r>
                <m:rPr>
                  <m:sty m:val="p"/>
                </m:rPr>
                <w:rPr>
                  <w:rFonts w:ascii="Cambria Math" w:hAnsi="Cambria Math" w:cstheme="minorHAnsi"/>
                  <w:lang w:val="en-US"/>
                </w:rPr>
                <m:t>s</m:t>
              </m:r>
            </m:den>
          </m:f>
          <m:r>
            <m:rPr>
              <m:sty m:val="p"/>
            </m:rPr>
            <w:rPr>
              <w:rFonts w:ascii="Cambria Math" w:hAnsi="Cambria Math" w:cstheme="minorHAnsi"/>
              <w:lang w:val="en-US"/>
            </w:rPr>
            <m:t xml:space="preserve">     (maior é melhor)</m:t>
          </m:r>
        </m:oMath>
      </m:oMathPara>
    </w:p>
    <w:p w14:paraId="2B1FD18D" w14:textId="6C448B0C" w:rsidR="009F5BBD" w:rsidRPr="006D455A" w:rsidRDefault="009F5BBD" w:rsidP="006D455A">
      <w:pPr>
        <w:jc w:val="both"/>
        <w:rPr>
          <w:rFonts w:asciiTheme="minorHAnsi" w:hAnsiTheme="minorHAnsi" w:cstheme="minorHAnsi"/>
          <w:lang w:val="en-US"/>
        </w:rPr>
      </w:pPr>
      <m:oMathPara>
        <m:oMath>
          <m:sSub>
            <m:sSubPr>
              <m:ctrlPr>
                <w:rPr>
                  <w:rFonts w:ascii="Cambria Math" w:hAnsi="Cambria Math" w:cstheme="minorHAnsi"/>
                  <w:lang w:val="en-US"/>
                </w:rPr>
              </m:ctrlPr>
            </m:sSubPr>
            <m:e>
              <m:r>
                <m:rPr>
                  <m:sty m:val="p"/>
                </m:rPr>
                <w:rPr>
                  <w:rFonts w:ascii="Cambria Math" w:hAnsi="Cambria Math" w:cstheme="minorHAnsi"/>
                  <w:lang w:val="en-US"/>
                </w:rPr>
                <m:t>z</m:t>
              </m:r>
            </m:e>
            <m:sub>
              <m:r>
                <m:rPr>
                  <m:sty m:val="p"/>
                </m:rPr>
                <w:rPr>
                  <w:rFonts w:ascii="Cambria Math" w:hAnsi="Cambria Math" w:cstheme="minorHAnsi"/>
                  <w:lang w:val="en-US"/>
                </w:rPr>
                <m:t>i</m:t>
              </m:r>
            </m:sub>
          </m:sSub>
          <m:r>
            <m:rPr>
              <m:sty m:val="p"/>
            </m:rPr>
            <w:rPr>
              <w:rFonts w:ascii="Cambria Math" w:hAnsi="Cambria Math" w:cstheme="minorHAnsi"/>
              <w:lang w:val="en-US"/>
            </w:rPr>
            <m:t xml:space="preserve"> = -</m:t>
          </m:r>
          <m:f>
            <m:fPr>
              <m:ctrlPr>
                <w:rPr>
                  <w:rFonts w:ascii="Cambria Math" w:hAnsi="Cambria Math" w:cstheme="minorHAnsi"/>
                  <w:lang w:val="en-US"/>
                </w:rPr>
              </m:ctrlPr>
            </m:fPr>
            <m:num>
              <m:sSub>
                <m:sSubPr>
                  <m:ctrlPr>
                    <w:rPr>
                      <w:rFonts w:ascii="Cambria Math" w:hAnsi="Cambria Math" w:cstheme="minorHAnsi"/>
                      <w:lang w:val="en-US"/>
                    </w:rPr>
                  </m:ctrlPr>
                </m:sSubPr>
                <m:e>
                  <m:r>
                    <m:rPr>
                      <m:sty m:val="p"/>
                    </m:rPr>
                    <w:rPr>
                      <w:rFonts w:ascii="Cambria Math" w:hAnsi="Cambria Math" w:cstheme="minorHAnsi"/>
                      <w:lang w:val="en-US"/>
                    </w:rPr>
                    <m:t>x</m:t>
                  </m:r>
                </m:e>
                <m:sub>
                  <m:r>
                    <m:rPr>
                      <m:sty m:val="p"/>
                    </m:rPr>
                    <w:rPr>
                      <w:rFonts w:ascii="Cambria Math" w:hAnsi="Cambria Math" w:cstheme="minorHAnsi"/>
                      <w:lang w:val="en-US"/>
                    </w:rPr>
                    <m:t>i</m:t>
                  </m:r>
                </m:sub>
              </m:sSub>
              <m:r>
                <m:rPr>
                  <m:sty m:val="p"/>
                </m:rPr>
                <w:rPr>
                  <w:rFonts w:ascii="Cambria Math" w:hAnsi="Cambria Math" w:cstheme="minorHAnsi"/>
                  <w:lang w:val="en-US"/>
                </w:rPr>
                <m:t xml:space="preserve"> - </m:t>
              </m:r>
              <m:sSub>
                <m:sSubPr>
                  <m:ctrlPr>
                    <w:rPr>
                      <w:rFonts w:ascii="Cambria Math" w:hAnsi="Cambria Math" w:cstheme="minorHAnsi"/>
                      <w:lang w:val="en-US"/>
                    </w:rPr>
                  </m:ctrlPr>
                </m:sSubPr>
                <m:e>
                  <m:r>
                    <m:rPr>
                      <m:sty m:val="p"/>
                    </m:rPr>
                    <w:rPr>
                      <w:rFonts w:ascii="Cambria Math" w:hAnsi="Cambria Math" w:cstheme="minorHAnsi"/>
                      <w:lang w:val="en-US"/>
                    </w:rPr>
                    <m:t>m</m:t>
                  </m:r>
                </m:e>
                <m:sub>
                  <m:r>
                    <m:rPr>
                      <m:sty m:val="p"/>
                    </m:rPr>
                    <w:rPr>
                      <w:rFonts w:ascii="Cambria Math" w:hAnsi="Cambria Math" w:cstheme="minorHAnsi"/>
                      <w:lang w:val="en-US"/>
                    </w:rPr>
                    <m:t>x</m:t>
                  </m:r>
                </m:sub>
              </m:sSub>
            </m:num>
            <m:den>
              <m:r>
                <m:rPr>
                  <m:sty m:val="p"/>
                </m:rPr>
                <w:rPr>
                  <w:rFonts w:ascii="Cambria Math" w:hAnsi="Cambria Math" w:cstheme="minorHAnsi"/>
                  <w:lang w:val="en-US"/>
                </w:rPr>
                <m:t>s</m:t>
              </m:r>
            </m:den>
          </m:f>
          <m:r>
            <m:rPr>
              <m:sty m:val="p"/>
            </m:rPr>
            <w:rPr>
              <w:rFonts w:ascii="Cambria Math" w:hAnsi="Cambria Math" w:cstheme="minorHAnsi"/>
              <w:lang w:val="en-US"/>
            </w:rPr>
            <m:t xml:space="preserve">     (menor é melhor)</m:t>
          </m:r>
        </m:oMath>
      </m:oMathPara>
    </w:p>
    <w:p w14:paraId="7EB6E416" w14:textId="77777777" w:rsidR="009F5BBD" w:rsidRPr="006D455A" w:rsidRDefault="009F5BBD" w:rsidP="006D455A">
      <w:pPr>
        <w:jc w:val="both"/>
        <w:rPr>
          <w:rFonts w:asciiTheme="minorHAnsi" w:hAnsiTheme="minorHAnsi" w:cstheme="minorHAnsi"/>
        </w:rPr>
      </w:pPr>
      <w:r w:rsidRPr="006D455A">
        <w:rPr>
          <w:rFonts w:asciiTheme="minorHAnsi" w:hAnsiTheme="minorHAnsi" w:cstheme="minorHAnsi"/>
        </w:rPr>
        <w:t>O z-score orientado é truncado no intervalo de −4 a +4 e convertido em nota pela função logística crescente:</w:t>
      </w:r>
    </w:p>
    <w:p w14:paraId="49592657" w14:textId="1615BF44" w:rsidR="009F5BBD" w:rsidRPr="006D455A" w:rsidRDefault="009F5BBD" w:rsidP="006D455A">
      <w:pPr>
        <w:jc w:val="both"/>
        <w:rPr>
          <w:rFonts w:asciiTheme="minorHAnsi" w:hAnsiTheme="minorHAnsi" w:cstheme="minorHAnsi"/>
          <w:lang w:val="en-US"/>
        </w:rPr>
      </w:pPr>
      <m:oMathPara>
        <m:oMath>
          <m:sSup>
            <m:sSupPr>
              <m:ctrlPr>
                <w:rPr>
                  <w:rFonts w:ascii="Cambria Math" w:hAnsi="Cambria Math" w:cstheme="minorHAnsi"/>
                  <w:lang w:val="en-US"/>
                </w:rPr>
              </m:ctrlPr>
            </m:sSupPr>
            <m:e>
              <m:sSub>
                <m:sSubPr>
                  <m:ctrlPr>
                    <w:rPr>
                      <w:rFonts w:ascii="Cambria Math" w:hAnsi="Cambria Math" w:cstheme="minorHAnsi"/>
                      <w:lang w:val="en-US"/>
                    </w:rPr>
                  </m:ctrlPr>
                </m:sSubPr>
                <m:e>
                  <m:r>
                    <m:rPr>
                      <m:sty m:val="p"/>
                    </m:rPr>
                    <w:rPr>
                      <w:rFonts w:ascii="Cambria Math" w:hAnsi="Cambria Math" w:cstheme="minorHAnsi"/>
                      <w:lang w:val="en-US"/>
                    </w:rPr>
                    <m:t>z</m:t>
                  </m:r>
                </m:e>
                <m:sub>
                  <m:r>
                    <m:rPr>
                      <m:sty m:val="p"/>
                    </m:rPr>
                    <w:rPr>
                      <w:rFonts w:ascii="Cambria Math" w:hAnsi="Cambria Math" w:cstheme="minorHAnsi"/>
                      <w:lang w:val="en-US"/>
                    </w:rPr>
                    <m:t>i</m:t>
                  </m:r>
                </m:sub>
              </m:sSub>
            </m:e>
            <m:sup>
              <m:r>
                <m:rPr>
                  <m:sty m:val="p"/>
                </m:rPr>
                <w:rPr>
                  <w:rFonts w:ascii="Cambria Math" w:hAnsi="Cambria Math" w:cstheme="minorHAnsi"/>
                  <w:lang w:val="en-US"/>
                </w:rPr>
                <m:t>*</m:t>
              </m:r>
            </m:sup>
          </m:sSup>
          <m:r>
            <m:rPr>
              <m:sty m:val="p"/>
            </m:rPr>
            <w:rPr>
              <w:rFonts w:ascii="Cambria Math" w:hAnsi="Cambria Math" w:cstheme="minorHAnsi"/>
              <w:lang w:val="en-US"/>
            </w:rPr>
            <m:t xml:space="preserve"> = max(-4, min(4, </m:t>
          </m:r>
          <m:sSub>
            <m:sSubPr>
              <m:ctrlPr>
                <w:rPr>
                  <w:rFonts w:ascii="Cambria Math" w:hAnsi="Cambria Math" w:cstheme="minorHAnsi"/>
                  <w:lang w:val="en-US"/>
                </w:rPr>
              </m:ctrlPr>
            </m:sSubPr>
            <m:e>
              <m:r>
                <m:rPr>
                  <m:sty m:val="p"/>
                </m:rPr>
                <w:rPr>
                  <w:rFonts w:ascii="Cambria Math" w:hAnsi="Cambria Math" w:cstheme="minorHAnsi"/>
                  <w:lang w:val="en-US"/>
                </w:rPr>
                <m:t>z</m:t>
              </m:r>
            </m:e>
            <m:sub>
              <m:r>
                <m:rPr>
                  <m:sty m:val="p"/>
                </m:rPr>
                <w:rPr>
                  <w:rFonts w:ascii="Cambria Math" w:hAnsi="Cambria Math" w:cstheme="minorHAnsi"/>
                  <w:lang w:val="en-US"/>
                </w:rPr>
                <m:t>i</m:t>
              </m:r>
            </m:sub>
          </m:sSub>
          <m:r>
            <m:rPr>
              <m:sty m:val="p"/>
            </m:rPr>
            <w:rPr>
              <w:rFonts w:ascii="Cambria Math" w:hAnsi="Cambria Math" w:cstheme="minorHAnsi"/>
              <w:lang w:val="en-US"/>
            </w:rPr>
            <m:t>))</m:t>
          </m:r>
        </m:oMath>
      </m:oMathPara>
    </w:p>
    <w:p w14:paraId="7C20A54E" w14:textId="011CA481" w:rsidR="009F5BBD" w:rsidRPr="006D455A" w:rsidRDefault="009F5BBD" w:rsidP="006D455A">
      <w:pPr>
        <w:jc w:val="both"/>
        <w:rPr>
          <w:rFonts w:asciiTheme="minorHAnsi" w:hAnsiTheme="minorHAnsi" w:cstheme="minorHAnsi"/>
          <w:lang w:val="en-US"/>
        </w:rPr>
      </w:pPr>
      <m:oMathPara>
        <m:oMath>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i</m:t>
              </m:r>
            </m:sub>
          </m:sSub>
          <m:r>
            <m:rPr>
              <m:sty m:val="p"/>
            </m:rPr>
            <w:rPr>
              <w:rFonts w:ascii="Cambria Math" w:hAnsi="Cambria Math" w:cstheme="minorHAnsi"/>
              <w:lang w:val="en-US"/>
            </w:rPr>
            <m:t xml:space="preserve"> = </m:t>
          </m:r>
          <m:f>
            <m:fPr>
              <m:ctrlPr>
                <w:rPr>
                  <w:rFonts w:ascii="Cambria Math" w:hAnsi="Cambria Math" w:cstheme="minorHAnsi"/>
                  <w:lang w:val="en-US"/>
                </w:rPr>
              </m:ctrlPr>
            </m:fPr>
            <m:num>
              <m:r>
                <m:rPr>
                  <m:sty m:val="p"/>
                </m:rPr>
                <w:rPr>
                  <w:rFonts w:ascii="Cambria Math" w:hAnsi="Cambria Math" w:cstheme="minorHAnsi"/>
                  <w:lang w:val="en-US"/>
                </w:rPr>
                <m:t>100</m:t>
              </m:r>
            </m:num>
            <m:den>
              <m:r>
                <m:rPr>
                  <m:sty m:val="p"/>
                </m:rPr>
                <w:rPr>
                  <w:rFonts w:ascii="Cambria Math" w:hAnsi="Cambria Math" w:cstheme="minorHAnsi"/>
                  <w:lang w:val="en-US"/>
                </w:rPr>
                <m:t>1 + exp(-</m:t>
              </m:r>
              <m:sSup>
                <m:sSupPr>
                  <m:ctrlPr>
                    <w:rPr>
                      <w:rFonts w:ascii="Cambria Math" w:hAnsi="Cambria Math" w:cstheme="minorHAnsi"/>
                      <w:lang w:val="en-US"/>
                    </w:rPr>
                  </m:ctrlPr>
                </m:sSupPr>
                <m:e>
                  <m:sSub>
                    <m:sSubPr>
                      <m:ctrlPr>
                        <w:rPr>
                          <w:rFonts w:ascii="Cambria Math" w:hAnsi="Cambria Math" w:cstheme="minorHAnsi"/>
                          <w:lang w:val="en-US"/>
                        </w:rPr>
                      </m:ctrlPr>
                    </m:sSubPr>
                    <m:e>
                      <m:r>
                        <m:rPr>
                          <m:sty m:val="p"/>
                        </m:rPr>
                        <w:rPr>
                          <w:rFonts w:ascii="Cambria Math" w:hAnsi="Cambria Math" w:cstheme="minorHAnsi"/>
                          <w:lang w:val="en-US"/>
                        </w:rPr>
                        <m:t>z</m:t>
                      </m:r>
                    </m:e>
                    <m:sub>
                      <m:r>
                        <m:rPr>
                          <m:sty m:val="p"/>
                        </m:rPr>
                        <w:rPr>
                          <w:rFonts w:ascii="Cambria Math" w:hAnsi="Cambria Math" w:cstheme="minorHAnsi"/>
                          <w:lang w:val="en-US"/>
                        </w:rPr>
                        <m:t>i</m:t>
                      </m:r>
                    </m:sub>
                  </m:sSub>
                </m:e>
                <m:sup>
                  <m:r>
                    <m:rPr>
                      <m:sty m:val="p"/>
                    </m:rPr>
                    <w:rPr>
                      <w:rFonts w:ascii="Cambria Math" w:hAnsi="Cambria Math" w:cstheme="minorHAnsi"/>
                      <w:lang w:val="en-US"/>
                    </w:rPr>
                    <m:t>*</m:t>
                  </m:r>
                </m:sup>
              </m:sSup>
              <m:r>
                <m:rPr>
                  <m:sty m:val="p"/>
                </m:rPr>
                <w:rPr>
                  <w:rFonts w:ascii="Cambria Math" w:hAnsi="Cambria Math" w:cstheme="minorHAnsi"/>
                  <w:lang w:val="en-US"/>
                </w:rPr>
                <m:t>)</m:t>
              </m:r>
            </m:den>
          </m:f>
        </m:oMath>
      </m:oMathPara>
    </w:p>
    <w:p w14:paraId="0B72890A" w14:textId="77777777" w:rsidR="009F5BBD" w:rsidRPr="006D455A" w:rsidRDefault="009F5BBD" w:rsidP="006D455A">
      <w:pPr>
        <w:jc w:val="both"/>
        <w:rPr>
          <w:rFonts w:asciiTheme="minorHAnsi" w:hAnsiTheme="minorHAnsi" w:cstheme="minorHAnsi"/>
        </w:rPr>
      </w:pPr>
      <w:r w:rsidRPr="006D455A">
        <w:rPr>
          <w:rFonts w:asciiTheme="minorHAnsi" w:hAnsiTheme="minorHAnsi" w:cstheme="minorHAnsi"/>
        </w:rPr>
        <w:t>A transformação preserva a ordenação após o truncamento e comprime os extremos. Valores além do mesmo limite recebem a mesma nota. A nota 50 representa o centro da amostra naquela métrica, não qualidade mínima nem probabilidade de sucesso.</w:t>
      </w:r>
    </w:p>
    <w:p w14:paraId="44000718" w14:textId="77777777" w:rsidR="009F5BBD" w:rsidRPr="006D455A" w:rsidRDefault="009F5BBD" w:rsidP="006D455A">
      <w:pPr>
        <w:jc w:val="both"/>
        <w:rPr>
          <w:rFonts w:asciiTheme="minorHAnsi" w:hAnsiTheme="minorHAnsi" w:cstheme="minorHAnsi"/>
          <w:lang w:val="en-US"/>
        </w:rPr>
      </w:pPr>
      <w:r w:rsidRPr="006D455A">
        <w:rPr>
          <w:rFonts w:asciiTheme="minorHAnsi" w:hAnsiTheme="minorHAnsi" w:cstheme="minorHAnsi"/>
        </w:rPr>
        <w:t xml:space="preserve">Se a escala for nula ou numericamente insuficiente, utiliza-se o intervalo interquartil dividido por 1,349 e, depois, o desvio-padrão amostral. </w:t>
      </w:r>
      <w:r w:rsidRPr="006D455A">
        <w:rPr>
          <w:rFonts w:asciiTheme="minorHAnsi" w:hAnsiTheme="minorHAnsi" w:cstheme="minorHAnsi"/>
          <w:lang w:val="en-US"/>
        </w:rPr>
        <w:t xml:space="preserve">Sem </w:t>
      </w:r>
      <w:proofErr w:type="spellStart"/>
      <w:r w:rsidRPr="006D455A">
        <w:rPr>
          <w:rFonts w:asciiTheme="minorHAnsi" w:hAnsiTheme="minorHAnsi" w:cstheme="minorHAnsi"/>
          <w:lang w:val="en-US"/>
        </w:rPr>
        <w:t>dispersão</w:t>
      </w:r>
      <w:proofErr w:type="spellEnd"/>
      <w:r w:rsidRPr="006D455A">
        <w:rPr>
          <w:rFonts w:asciiTheme="minorHAnsi" w:hAnsiTheme="minorHAnsi" w:cstheme="minorHAnsi"/>
          <w:lang w:val="en-US"/>
        </w:rPr>
        <w:t xml:space="preserve"> </w:t>
      </w:r>
      <w:proofErr w:type="spellStart"/>
      <w:r w:rsidRPr="006D455A">
        <w:rPr>
          <w:rFonts w:asciiTheme="minorHAnsi" w:hAnsiTheme="minorHAnsi" w:cstheme="minorHAnsi"/>
          <w:lang w:val="en-US"/>
        </w:rPr>
        <w:t>diferenciável</w:t>
      </w:r>
      <w:proofErr w:type="spellEnd"/>
      <w:r w:rsidRPr="006D455A">
        <w:rPr>
          <w:rFonts w:asciiTheme="minorHAnsi" w:hAnsiTheme="minorHAnsi" w:cstheme="minorHAnsi"/>
          <w:lang w:val="en-US"/>
        </w:rPr>
        <w:t xml:space="preserve">, </w:t>
      </w:r>
      <w:proofErr w:type="spellStart"/>
      <w:r w:rsidRPr="006D455A">
        <w:rPr>
          <w:rFonts w:asciiTheme="minorHAnsi" w:hAnsiTheme="minorHAnsi" w:cstheme="minorHAnsi"/>
          <w:lang w:val="en-US"/>
        </w:rPr>
        <w:t>atribui</w:t>
      </w:r>
      <w:proofErr w:type="spellEnd"/>
      <w:r w:rsidRPr="006D455A">
        <w:rPr>
          <w:rFonts w:asciiTheme="minorHAnsi" w:hAnsiTheme="minorHAnsi" w:cstheme="minorHAnsi"/>
          <w:lang w:val="en-US"/>
        </w:rPr>
        <w:t>-se nota 50:</w:t>
      </w:r>
    </w:p>
    <w:p w14:paraId="501D01FA" w14:textId="6D7C709B" w:rsidR="009F5BBD" w:rsidRPr="006D455A" w:rsidRDefault="009F5BBD" w:rsidP="006D455A">
      <w:pPr>
        <w:jc w:val="both"/>
        <w:rPr>
          <w:rFonts w:asciiTheme="minorHAnsi" w:hAnsiTheme="minorHAnsi" w:cstheme="minorHAnsi"/>
          <w:lang w:val="en-US"/>
        </w:rPr>
      </w:pPr>
      <m:oMathPara>
        <m:oMath>
          <m:sSub>
            <m:sSubPr>
              <m:ctrlPr>
                <w:rPr>
                  <w:rFonts w:ascii="Cambria Math" w:hAnsi="Cambria Math" w:cstheme="minorHAnsi"/>
                  <w:lang w:val="en-US"/>
                </w:rPr>
              </m:ctrlPr>
            </m:sSubPr>
            <m:e>
              <m:r>
                <m:rPr>
                  <m:sty m:val="p"/>
                </m:rPr>
                <w:rPr>
                  <w:rFonts w:ascii="Cambria Math" w:hAnsi="Cambria Math" w:cstheme="minorHAnsi"/>
                  <w:lang w:val="en-US"/>
                </w:rPr>
                <m:t>s</m:t>
              </m:r>
            </m:e>
            <m:sub>
              <m:r>
                <m:rPr>
                  <m:sty m:val="p"/>
                </m:rPr>
                <w:rPr>
                  <w:rFonts w:ascii="Cambria Math" w:hAnsi="Cambria Math" w:cstheme="minorHAnsi"/>
                  <w:lang w:val="en-US"/>
                </w:rPr>
                <m:t>alternativa 1</m:t>
              </m:r>
            </m:sub>
          </m:sSub>
          <m:r>
            <m:rPr>
              <m:sty m:val="p"/>
            </m:rPr>
            <w:rPr>
              <w:rFonts w:ascii="Cambria Math" w:hAnsi="Cambria Math" w:cstheme="minorHAnsi"/>
              <w:lang w:val="en-US"/>
            </w:rPr>
            <m:t xml:space="preserve"> = </m:t>
          </m:r>
          <m:f>
            <m:fPr>
              <m:ctrlPr>
                <w:rPr>
                  <w:rFonts w:ascii="Cambria Math" w:hAnsi="Cambria Math" w:cstheme="minorHAnsi"/>
                  <w:lang w:val="en-US"/>
                </w:rPr>
              </m:ctrlPr>
            </m:fPr>
            <m:num>
              <m:sSub>
                <m:sSubPr>
                  <m:ctrlPr>
                    <w:rPr>
                      <w:rFonts w:ascii="Cambria Math" w:hAnsi="Cambria Math" w:cstheme="minorHAnsi"/>
                      <w:lang w:val="en-US"/>
                    </w:rPr>
                  </m:ctrlPr>
                </m:sSubPr>
                <m:e>
                  <m:r>
                    <m:rPr>
                      <m:sty m:val="p"/>
                    </m:rPr>
                    <w:rPr>
                      <w:rFonts w:ascii="Cambria Math" w:hAnsi="Cambria Math" w:cstheme="minorHAnsi"/>
                      <w:lang w:val="en-US"/>
                    </w:rPr>
                    <m:t>Q</m:t>
                  </m:r>
                </m:e>
                <m:sub>
                  <m:r>
                    <m:rPr>
                      <m:sty m:val="p"/>
                    </m:rPr>
                    <w:rPr>
                      <w:rFonts w:ascii="Cambria Math" w:hAnsi="Cambria Math" w:cstheme="minorHAnsi"/>
                      <w:lang w:val="en-US"/>
                    </w:rPr>
                    <m:t>0,75</m:t>
                  </m:r>
                </m:sub>
              </m:sSub>
              <m:r>
                <m:rPr>
                  <m:sty m:val="p"/>
                </m:rPr>
                <w:rPr>
                  <w:rFonts w:ascii="Cambria Math" w:hAnsi="Cambria Math" w:cstheme="minorHAnsi"/>
                  <w:lang w:val="en-US"/>
                </w:rPr>
                <m:t xml:space="preserve"> - </m:t>
              </m:r>
              <m:sSub>
                <m:sSubPr>
                  <m:ctrlPr>
                    <w:rPr>
                      <w:rFonts w:ascii="Cambria Math" w:hAnsi="Cambria Math" w:cstheme="minorHAnsi"/>
                      <w:lang w:val="en-US"/>
                    </w:rPr>
                  </m:ctrlPr>
                </m:sSubPr>
                <m:e>
                  <m:r>
                    <m:rPr>
                      <m:sty m:val="p"/>
                    </m:rPr>
                    <w:rPr>
                      <w:rFonts w:ascii="Cambria Math" w:hAnsi="Cambria Math" w:cstheme="minorHAnsi"/>
                      <w:lang w:val="en-US"/>
                    </w:rPr>
                    <m:t>Q</m:t>
                  </m:r>
                </m:e>
                <m:sub>
                  <m:r>
                    <m:rPr>
                      <m:sty m:val="p"/>
                    </m:rPr>
                    <w:rPr>
                      <w:rFonts w:ascii="Cambria Math" w:hAnsi="Cambria Math" w:cstheme="minorHAnsi"/>
                      <w:lang w:val="en-US"/>
                    </w:rPr>
                    <m:t>0,25</m:t>
                  </m:r>
                </m:sub>
              </m:sSub>
            </m:num>
            <m:den>
              <m:r>
                <m:rPr>
                  <m:sty m:val="p"/>
                </m:rPr>
                <w:rPr>
                  <w:rFonts w:ascii="Cambria Math" w:hAnsi="Cambria Math" w:cstheme="minorHAnsi"/>
                  <w:lang w:val="en-US"/>
                </w:rPr>
                <m:t>1,349</m:t>
              </m:r>
            </m:den>
          </m:f>
          <m:r>
            <m:rPr>
              <m:sty m:val="p"/>
            </m:rPr>
            <w:rPr>
              <w:rFonts w:ascii="Cambria Math" w:hAnsi="Cambria Math" w:cstheme="minorHAnsi"/>
              <w:lang w:val="en-US"/>
            </w:rPr>
            <m:t xml:space="preserve">     </m:t>
          </m:r>
          <m:sSub>
            <m:sSubPr>
              <m:ctrlPr>
                <w:rPr>
                  <w:rFonts w:ascii="Cambria Math" w:hAnsi="Cambria Math" w:cstheme="minorHAnsi"/>
                  <w:lang w:val="en-US"/>
                </w:rPr>
              </m:ctrlPr>
            </m:sSubPr>
            <m:e>
              <m:r>
                <m:rPr>
                  <m:sty m:val="p"/>
                </m:rPr>
                <w:rPr>
                  <w:rFonts w:ascii="Cambria Math" w:hAnsi="Cambria Math" w:cstheme="minorHAnsi"/>
                  <w:lang w:val="en-US"/>
                </w:rPr>
                <m:t>s</m:t>
              </m:r>
            </m:e>
            <m:sub>
              <m:r>
                <m:rPr>
                  <m:sty m:val="p"/>
                </m:rPr>
                <w:rPr>
                  <w:rFonts w:ascii="Cambria Math" w:hAnsi="Cambria Math" w:cstheme="minorHAnsi"/>
                  <w:lang w:val="en-US"/>
                </w:rPr>
                <m:t>alternativa 2</m:t>
              </m:r>
            </m:sub>
          </m:sSub>
          <m:r>
            <m:rPr>
              <m:sty m:val="p"/>
            </m:rPr>
            <w:rPr>
              <w:rFonts w:ascii="Cambria Math" w:hAnsi="Cambria Math" w:cstheme="minorHAnsi"/>
              <w:lang w:val="en-US"/>
            </w:rPr>
            <m:t xml:space="preserve"> = sd(</m:t>
          </m:r>
          <m:sSub>
            <m:sSubPr>
              <m:ctrlPr>
                <w:rPr>
                  <w:rFonts w:ascii="Cambria Math" w:hAnsi="Cambria Math" w:cstheme="minorHAnsi"/>
                  <w:lang w:val="en-US"/>
                </w:rPr>
              </m:ctrlPr>
            </m:sSubPr>
            <m:e>
              <m:r>
                <m:rPr>
                  <m:sty m:val="p"/>
                </m:rPr>
                <w:rPr>
                  <w:rFonts w:ascii="Cambria Math" w:hAnsi="Cambria Math" w:cstheme="minorHAnsi"/>
                  <w:lang w:val="en-US"/>
                </w:rPr>
                <m:t>x</m:t>
              </m:r>
            </m:e>
            <m:sub>
              <m:r>
                <m:rPr>
                  <m:sty m:val="p"/>
                </m:rPr>
                <w:rPr>
                  <w:rFonts w:ascii="Cambria Math" w:hAnsi="Cambria Math" w:cstheme="minorHAnsi"/>
                  <w:lang w:val="en-US"/>
                </w:rPr>
                <m:t>i</m:t>
              </m:r>
            </m:sub>
          </m:sSub>
          <m:r>
            <m:rPr>
              <m:sty m:val="p"/>
            </m:rPr>
            <w:rPr>
              <w:rFonts w:ascii="Cambria Math" w:hAnsi="Cambria Math" w:cstheme="minorHAnsi"/>
              <w:lang w:val="en-US"/>
            </w:rPr>
            <m:t>)</m:t>
          </m:r>
        </m:oMath>
      </m:oMathPara>
    </w:p>
    <w:p w14:paraId="03E1C0FF" w14:textId="77777777" w:rsidR="009F5BBD" w:rsidRPr="006D455A" w:rsidRDefault="009F5BBD" w:rsidP="006D455A">
      <w:pPr>
        <w:jc w:val="both"/>
        <w:rPr>
          <w:rFonts w:asciiTheme="minorHAnsi" w:hAnsiTheme="minorHAnsi" w:cstheme="minorHAnsi"/>
          <w:b/>
          <w:bCs/>
        </w:rPr>
      </w:pPr>
      <w:r w:rsidRPr="006D455A">
        <w:rPr>
          <w:rFonts w:asciiTheme="minorHAnsi" w:hAnsiTheme="minorHAnsi" w:cstheme="minorHAnsi"/>
          <w:b/>
          <w:bCs/>
        </w:rPr>
        <w:t>Pilares e score final</w:t>
      </w:r>
    </w:p>
    <w:p w14:paraId="06B59CB4" w14:textId="77777777" w:rsidR="009F5BBD" w:rsidRPr="006D455A" w:rsidRDefault="009F5BBD" w:rsidP="006D455A">
      <w:pPr>
        <w:jc w:val="both"/>
        <w:rPr>
          <w:rFonts w:asciiTheme="minorHAnsi" w:hAnsiTheme="minorHAnsi" w:cstheme="minorHAnsi"/>
        </w:rPr>
      </w:pPr>
      <w:r w:rsidRPr="006D455A">
        <w:rPr>
          <w:rFonts w:asciiTheme="minorHAnsi" w:hAnsiTheme="minorHAnsi" w:cstheme="minorHAnsi"/>
        </w:rPr>
        <w:t>N representa a nota robusta de cada componente. O pilar de retorno é a nota do excesso anualizado sobre o CDI. A consistência utiliza as proporções de meses e janelas móveis de 6 e 12 meses com excesso composto positivo:</w:t>
      </w:r>
    </w:p>
    <w:p w14:paraId="0049635C" w14:textId="0CC6FB44" w:rsidR="009F5BBD" w:rsidRPr="006D455A" w:rsidRDefault="009F5BBD" w:rsidP="006D455A">
      <w:pPr>
        <w:jc w:val="both"/>
        <w:rPr>
          <w:rFonts w:asciiTheme="minorHAnsi" w:hAnsiTheme="minorHAnsi" w:cstheme="minorHAnsi"/>
          <w:lang w:val="en-US"/>
        </w:rPr>
      </w:pPr>
      <m:oMathPara>
        <m:oMath>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consistência</m:t>
              </m:r>
            </m:sub>
          </m:sSub>
          <m:r>
            <m:rPr>
              <m:sty m:val="p"/>
            </m:rPr>
            <w:rPr>
              <w:rFonts w:ascii="Cambria Math" w:hAnsi="Cambria Math" w:cstheme="minorHAnsi"/>
              <w:lang w:val="en-US"/>
            </w:rPr>
            <m:t xml:space="preserve"> = 0,20</m:t>
          </m:r>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hit mensal</m:t>
              </m:r>
            </m:sub>
          </m:sSub>
          <m:r>
            <m:rPr>
              <m:sty m:val="p"/>
            </m:rPr>
            <w:rPr>
              <w:rFonts w:ascii="Cambria Math" w:hAnsi="Cambria Math" w:cstheme="minorHAnsi"/>
              <w:lang w:val="en-US"/>
            </w:rPr>
            <m:t xml:space="preserve"> + 0,20</m:t>
          </m:r>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hit 6m</m:t>
              </m:r>
            </m:sub>
          </m:sSub>
          <m:r>
            <m:rPr>
              <m:sty m:val="p"/>
            </m:rPr>
            <w:rPr>
              <w:rFonts w:ascii="Cambria Math" w:hAnsi="Cambria Math" w:cstheme="minorHAnsi"/>
              <w:lang w:val="en-US"/>
            </w:rPr>
            <m:t xml:space="preserve"> + 0,60</m:t>
          </m:r>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hit 12m</m:t>
              </m:r>
            </m:sub>
          </m:sSub>
        </m:oMath>
      </m:oMathPara>
    </w:p>
    <w:p w14:paraId="1A757C38" w14:textId="31384665" w:rsidR="009F5BBD" w:rsidRPr="006D455A" w:rsidRDefault="009F5BBD" w:rsidP="006D455A">
      <w:pPr>
        <w:jc w:val="both"/>
        <w:rPr>
          <w:rFonts w:asciiTheme="minorHAnsi" w:hAnsiTheme="minorHAnsi" w:cstheme="minorHAnsi"/>
          <w:lang w:val="en-US"/>
        </w:rPr>
      </w:pPr>
      <m:oMathPara>
        <m:oMath>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risco</m:t>
              </m:r>
            </m:sub>
          </m:sSub>
          <m:r>
            <m:rPr>
              <m:sty m:val="p"/>
            </m:rPr>
            <w:rPr>
              <w:rFonts w:ascii="Cambria Math" w:hAnsi="Cambria Math" w:cstheme="minorHAnsi"/>
              <w:lang w:val="en-US"/>
            </w:rPr>
            <m:t xml:space="preserve"> = 0,40</m:t>
          </m:r>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drawdown</m:t>
              </m:r>
            </m:sub>
          </m:sSub>
          <m:r>
            <m:rPr>
              <m:sty m:val="p"/>
            </m:rPr>
            <w:rPr>
              <w:rFonts w:ascii="Cambria Math" w:hAnsi="Cambria Math" w:cstheme="minorHAnsi"/>
              <w:lang w:val="en-US"/>
            </w:rPr>
            <m:t xml:space="preserve"> + 0,30</m:t>
          </m:r>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cauda</m:t>
              </m:r>
            </m:sub>
          </m:sSub>
          <m:r>
            <m:rPr>
              <m:sty m:val="p"/>
            </m:rPr>
            <w:rPr>
              <w:rFonts w:ascii="Cambria Math" w:hAnsi="Cambria Math" w:cstheme="minorHAnsi"/>
              <w:lang w:val="en-US"/>
            </w:rPr>
            <m:t xml:space="preserve"> + 0,30</m:t>
          </m:r>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volatilidade</m:t>
              </m:r>
            </m:sub>
          </m:sSub>
        </m:oMath>
      </m:oMathPara>
    </w:p>
    <w:p w14:paraId="282B21E0" w14:textId="55C43829" w:rsidR="009F5BBD" w:rsidRPr="006D455A" w:rsidRDefault="009F5BBD" w:rsidP="006D455A">
      <w:pPr>
        <w:jc w:val="both"/>
        <w:rPr>
          <w:rFonts w:asciiTheme="minorHAnsi" w:hAnsiTheme="minorHAnsi" w:cstheme="minorHAnsi"/>
          <w:lang w:val="en-US"/>
        </w:rPr>
      </w:pPr>
      <m:oMathPara>
        <m:oMath>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custo</m:t>
              </m:r>
            </m:sub>
          </m:sSub>
          <m:r>
            <m:rPr>
              <m:sty m:val="p"/>
            </m:rPr>
            <w:rPr>
              <w:rFonts w:ascii="Cambria Math" w:hAnsi="Cambria Math" w:cstheme="minorHAnsi"/>
              <w:lang w:val="en-US"/>
            </w:rPr>
            <m:t xml:space="preserve"> = 0,60</m:t>
          </m:r>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taxa</m:t>
              </m:r>
            </m:sub>
          </m:sSub>
          <m:r>
            <m:rPr>
              <m:sty m:val="p"/>
            </m:rPr>
            <w:rPr>
              <w:rFonts w:ascii="Cambria Math" w:hAnsi="Cambria Math" w:cstheme="minorHAnsi"/>
              <w:lang w:val="en-US"/>
            </w:rPr>
            <m:t xml:space="preserve"> + 0,40</m:t>
          </m:r>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excesso/taxa</m:t>
              </m:r>
            </m:sub>
          </m:sSub>
        </m:oMath>
      </m:oMathPara>
    </w:p>
    <w:p w14:paraId="19BF52B2" w14:textId="77777777" w:rsidR="009F5BBD" w:rsidRPr="006D455A" w:rsidRDefault="009F5BBD" w:rsidP="006D455A">
      <w:pPr>
        <w:jc w:val="both"/>
        <w:rPr>
          <w:rFonts w:asciiTheme="minorHAnsi" w:hAnsiTheme="minorHAnsi" w:cstheme="minorHAnsi"/>
          <w:lang w:val="en-US"/>
        </w:rPr>
      </w:pPr>
      <w:r w:rsidRPr="006D455A">
        <w:rPr>
          <w:rFonts w:asciiTheme="minorHAnsi" w:hAnsiTheme="minorHAnsi" w:cstheme="minorHAnsi"/>
        </w:rPr>
        <w:t xml:space="preserve">A razão excesso/taxa divide o excesso anualizado sobre o CDI pela taxa anual de administração. </w:t>
      </w:r>
      <w:r w:rsidRPr="006D455A">
        <w:rPr>
          <w:rFonts w:asciiTheme="minorHAnsi" w:hAnsiTheme="minorHAnsi" w:cstheme="minorHAnsi"/>
          <w:lang w:val="en-US"/>
        </w:rPr>
        <w:t xml:space="preserve">O score final </w:t>
      </w:r>
      <w:proofErr w:type="spellStart"/>
      <w:r w:rsidRPr="006D455A">
        <w:rPr>
          <w:rFonts w:asciiTheme="minorHAnsi" w:hAnsiTheme="minorHAnsi" w:cstheme="minorHAnsi"/>
          <w:lang w:val="en-US"/>
        </w:rPr>
        <w:t>pondera</w:t>
      </w:r>
      <w:proofErr w:type="spellEnd"/>
      <w:r w:rsidRPr="006D455A">
        <w:rPr>
          <w:rFonts w:asciiTheme="minorHAnsi" w:hAnsiTheme="minorHAnsi" w:cstheme="minorHAnsi"/>
          <w:lang w:val="en-US"/>
        </w:rPr>
        <w:t xml:space="preserve"> as </w:t>
      </w:r>
      <w:proofErr w:type="spellStart"/>
      <w:r w:rsidRPr="006D455A">
        <w:rPr>
          <w:rFonts w:asciiTheme="minorHAnsi" w:hAnsiTheme="minorHAnsi" w:cstheme="minorHAnsi"/>
          <w:lang w:val="en-US"/>
        </w:rPr>
        <w:t>notas</w:t>
      </w:r>
      <w:proofErr w:type="spellEnd"/>
      <w:r w:rsidRPr="006D455A">
        <w:rPr>
          <w:rFonts w:asciiTheme="minorHAnsi" w:hAnsiTheme="minorHAnsi" w:cstheme="minorHAnsi"/>
          <w:lang w:val="en-US"/>
        </w:rPr>
        <w:t xml:space="preserve"> dos </w:t>
      </w:r>
      <w:proofErr w:type="spellStart"/>
      <w:r w:rsidRPr="006D455A">
        <w:rPr>
          <w:rFonts w:asciiTheme="minorHAnsi" w:hAnsiTheme="minorHAnsi" w:cstheme="minorHAnsi"/>
          <w:lang w:val="en-US"/>
        </w:rPr>
        <w:t>quatro</w:t>
      </w:r>
      <w:proofErr w:type="spellEnd"/>
      <w:r w:rsidRPr="006D455A">
        <w:rPr>
          <w:rFonts w:asciiTheme="minorHAnsi" w:hAnsiTheme="minorHAnsi" w:cstheme="minorHAnsi"/>
          <w:lang w:val="en-US"/>
        </w:rPr>
        <w:t xml:space="preserve"> </w:t>
      </w:r>
      <w:proofErr w:type="spellStart"/>
      <w:r w:rsidRPr="006D455A">
        <w:rPr>
          <w:rFonts w:asciiTheme="minorHAnsi" w:hAnsiTheme="minorHAnsi" w:cstheme="minorHAnsi"/>
          <w:lang w:val="en-US"/>
        </w:rPr>
        <w:t>pilares</w:t>
      </w:r>
      <w:proofErr w:type="spellEnd"/>
      <w:r w:rsidRPr="006D455A">
        <w:rPr>
          <w:rFonts w:asciiTheme="minorHAnsi" w:hAnsiTheme="minorHAnsi" w:cstheme="minorHAnsi"/>
          <w:lang w:val="en-US"/>
        </w:rPr>
        <w:t>:</w:t>
      </w:r>
    </w:p>
    <w:p w14:paraId="5BD424D2" w14:textId="7E9D2224" w:rsidR="009F5BBD" w:rsidRPr="006D455A" w:rsidRDefault="009F5BBD" w:rsidP="006D455A">
      <w:pPr>
        <w:jc w:val="both"/>
        <w:rPr>
          <w:rFonts w:asciiTheme="minorHAnsi" w:hAnsiTheme="minorHAnsi" w:cstheme="minorHAnsi"/>
          <w:lang w:val="en-US"/>
        </w:rPr>
      </w:pPr>
      <m:oMathPara>
        <m:oMath>
          <m:r>
            <m:rPr>
              <m:sty m:val="p"/>
            </m:rPr>
            <w:rPr>
              <w:rFonts w:ascii="Cambria Math" w:hAnsi="Cambria Math" w:cstheme="minorHAnsi"/>
              <w:lang w:val="en-US"/>
            </w:rPr>
            <m:t>S = 0,30</m:t>
          </m:r>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retorno</m:t>
              </m:r>
            </m:sub>
          </m:sSub>
          <m:r>
            <m:rPr>
              <m:sty m:val="p"/>
            </m:rPr>
            <w:rPr>
              <w:rFonts w:ascii="Cambria Math" w:hAnsi="Cambria Math" w:cstheme="minorHAnsi"/>
              <w:lang w:val="en-US"/>
            </w:rPr>
            <m:t xml:space="preserve"> + 0,25</m:t>
          </m:r>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consistência</m:t>
              </m:r>
            </m:sub>
          </m:sSub>
          <m:r>
            <m:rPr>
              <m:sty m:val="p"/>
            </m:rPr>
            <w:rPr>
              <w:rFonts w:ascii="Cambria Math" w:hAnsi="Cambria Math" w:cstheme="minorHAnsi"/>
              <w:lang w:val="en-US"/>
            </w:rPr>
            <m:t xml:space="preserve"> + 0,20</m:t>
          </m:r>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risco</m:t>
              </m:r>
            </m:sub>
          </m:sSub>
          <m:r>
            <m:rPr>
              <m:sty m:val="p"/>
            </m:rPr>
            <w:rPr>
              <w:rFonts w:ascii="Cambria Math" w:hAnsi="Cambria Math" w:cstheme="minorHAnsi"/>
              <w:lang w:val="en-US"/>
            </w:rPr>
            <m:t xml:space="preserve"> + 0,25</m:t>
          </m:r>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custo</m:t>
              </m:r>
            </m:sub>
          </m:sSub>
        </m:oMath>
      </m:oMathPara>
    </w:p>
    <w:p w14:paraId="749561EE" w14:textId="77777777" w:rsidR="009F5BBD" w:rsidRPr="006D455A" w:rsidRDefault="009F5BBD" w:rsidP="006D455A">
      <w:pPr>
        <w:jc w:val="both"/>
        <w:rPr>
          <w:rFonts w:asciiTheme="minorHAnsi" w:hAnsiTheme="minorHAnsi" w:cstheme="minorHAnsi"/>
          <w:lang w:val="en-US"/>
        </w:rPr>
      </w:pPr>
      <w:r w:rsidRPr="006D455A">
        <w:rPr>
          <w:rFonts w:asciiTheme="minorHAnsi" w:hAnsiTheme="minorHAnsi" w:cstheme="minorHAnsi"/>
          <w:lang w:val="en-US"/>
        </w:rPr>
        <w:br w:type="page"/>
      </w:r>
    </w:p>
    <w:p w14:paraId="21DAD8E8" w14:textId="77777777" w:rsidR="009F5BBD" w:rsidRPr="006D455A" w:rsidRDefault="009F5BBD" w:rsidP="006D455A">
      <w:pPr>
        <w:jc w:val="both"/>
        <w:rPr>
          <w:rFonts w:asciiTheme="minorHAnsi" w:hAnsiTheme="minorHAnsi" w:cstheme="minorHAnsi"/>
          <w:b/>
          <w:bCs/>
        </w:rPr>
      </w:pPr>
      <w:r w:rsidRPr="006D455A">
        <w:rPr>
          <w:rFonts w:asciiTheme="minorHAnsi" w:hAnsiTheme="minorHAnsi" w:cstheme="minorHAnsi"/>
          <w:b/>
          <w:bCs/>
        </w:rPr>
        <w:lastRenderedPageBreak/>
        <w:t>Parâmetros e classificação</w:t>
      </w:r>
    </w:p>
    <w:p w14:paraId="63BFF00E" w14:textId="77777777" w:rsidR="009F5BBD" w:rsidRPr="006D455A" w:rsidRDefault="009F5BBD" w:rsidP="006D455A">
      <w:pPr>
        <w:jc w:val="both"/>
        <w:rPr>
          <w:rFonts w:asciiTheme="minorHAnsi" w:hAnsiTheme="minorHAnsi" w:cstheme="minorHAnsi"/>
          <w:lang w:val="en-US"/>
        </w:rPr>
      </w:pPr>
      <w:r w:rsidRPr="006D455A">
        <w:rPr>
          <w:rFonts w:asciiTheme="minorHAnsi" w:hAnsiTheme="minorHAnsi" w:cstheme="minorHAnsi"/>
        </w:rPr>
        <w:t xml:space="preserve">A análise utiliza 36 meses completos e comuns aos fundos elegíveis. O corte central é 55, com margem de 3 pontos, e o piso de cada pilar é 30. </w:t>
      </w:r>
      <w:r w:rsidRPr="006D455A">
        <w:rPr>
          <w:rFonts w:asciiTheme="minorHAnsi" w:hAnsiTheme="minorHAnsi" w:cstheme="minorHAnsi"/>
          <w:lang w:val="en-US"/>
        </w:rPr>
        <w:t xml:space="preserve">A </w:t>
      </w:r>
      <w:proofErr w:type="spellStart"/>
      <w:r w:rsidRPr="006D455A">
        <w:rPr>
          <w:rFonts w:asciiTheme="minorHAnsi" w:hAnsiTheme="minorHAnsi" w:cstheme="minorHAnsi"/>
          <w:lang w:val="en-US"/>
        </w:rPr>
        <w:t>menor</w:t>
      </w:r>
      <w:proofErr w:type="spellEnd"/>
      <w:r w:rsidRPr="006D455A">
        <w:rPr>
          <w:rFonts w:asciiTheme="minorHAnsi" w:hAnsiTheme="minorHAnsi" w:cstheme="minorHAnsi"/>
          <w:lang w:val="en-US"/>
        </w:rPr>
        <w:t xml:space="preserve"> nota entre </w:t>
      </w:r>
      <w:proofErr w:type="spellStart"/>
      <w:r w:rsidRPr="006D455A">
        <w:rPr>
          <w:rFonts w:asciiTheme="minorHAnsi" w:hAnsiTheme="minorHAnsi" w:cstheme="minorHAnsi"/>
          <w:lang w:val="en-US"/>
        </w:rPr>
        <w:t>os</w:t>
      </w:r>
      <w:proofErr w:type="spellEnd"/>
      <w:r w:rsidRPr="006D455A">
        <w:rPr>
          <w:rFonts w:asciiTheme="minorHAnsi" w:hAnsiTheme="minorHAnsi" w:cstheme="minorHAnsi"/>
          <w:lang w:val="en-US"/>
        </w:rPr>
        <w:t xml:space="preserve"> </w:t>
      </w:r>
      <w:proofErr w:type="spellStart"/>
      <w:r w:rsidRPr="006D455A">
        <w:rPr>
          <w:rFonts w:asciiTheme="minorHAnsi" w:hAnsiTheme="minorHAnsi" w:cstheme="minorHAnsi"/>
          <w:lang w:val="en-US"/>
        </w:rPr>
        <w:t>pilares</w:t>
      </w:r>
      <w:proofErr w:type="spellEnd"/>
      <w:r w:rsidRPr="006D455A">
        <w:rPr>
          <w:rFonts w:asciiTheme="minorHAnsi" w:hAnsiTheme="minorHAnsi" w:cstheme="minorHAnsi"/>
          <w:lang w:val="en-US"/>
        </w:rPr>
        <w:t xml:space="preserve"> é:</w:t>
      </w:r>
    </w:p>
    <w:p w14:paraId="556936A1" w14:textId="2004AF5C" w:rsidR="009F5BBD" w:rsidRPr="006D455A" w:rsidRDefault="009F5BBD" w:rsidP="006D455A">
      <w:pPr>
        <w:jc w:val="both"/>
        <w:rPr>
          <w:rFonts w:asciiTheme="minorHAnsi" w:hAnsiTheme="minorHAnsi" w:cstheme="minorHAnsi"/>
          <w:lang w:val="en-US"/>
        </w:rPr>
      </w:pPr>
      <m:oMathPara>
        <m:oMath>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mín</m:t>
              </m:r>
            </m:sub>
          </m:sSub>
          <m:r>
            <m:rPr>
              <m:sty m:val="p"/>
            </m:rPr>
            <w:rPr>
              <w:rFonts w:ascii="Cambria Math" w:hAnsi="Cambria Math" w:cstheme="minorHAnsi"/>
              <w:lang w:val="en-US"/>
            </w:rPr>
            <m:t xml:space="preserve"> = min(</m:t>
          </m:r>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retorno</m:t>
              </m:r>
            </m:sub>
          </m:sSub>
          <m:r>
            <m:rPr>
              <m:sty m:val="p"/>
            </m:rPr>
            <w:rPr>
              <w:rFonts w:ascii="Cambria Math" w:hAnsi="Cambria Math" w:cstheme="minorHAnsi"/>
              <w:lang w:val="en-US"/>
            </w:rPr>
            <m:t xml:space="preserve">, </m:t>
          </m:r>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consistência</m:t>
              </m:r>
            </m:sub>
          </m:sSub>
          <m:r>
            <m:rPr>
              <m:sty m:val="p"/>
            </m:rPr>
            <w:rPr>
              <w:rFonts w:ascii="Cambria Math" w:hAnsi="Cambria Math" w:cstheme="minorHAnsi"/>
              <w:lang w:val="en-US"/>
            </w:rPr>
            <m:t xml:space="preserve">, </m:t>
          </m:r>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risco</m:t>
              </m:r>
            </m:sub>
          </m:sSub>
          <m:r>
            <m:rPr>
              <m:sty m:val="p"/>
            </m:rPr>
            <w:rPr>
              <w:rFonts w:ascii="Cambria Math" w:hAnsi="Cambria Math" w:cstheme="minorHAnsi"/>
              <w:lang w:val="en-US"/>
            </w:rPr>
            <m:t xml:space="preserve">, </m:t>
          </m:r>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custo</m:t>
              </m:r>
            </m:sub>
          </m:sSub>
          <m:r>
            <m:rPr>
              <m:sty m:val="p"/>
            </m:rPr>
            <w:rPr>
              <w:rFonts w:ascii="Cambria Math" w:hAnsi="Cambria Math" w:cstheme="minorHAnsi"/>
              <w:lang w:val="en-US"/>
            </w:rPr>
            <m:t>)</m:t>
          </m:r>
        </m:oMath>
      </m:oMathPara>
    </w:p>
    <w:p w14:paraId="4061ADC2" w14:textId="77777777" w:rsidR="009F5BBD" w:rsidRPr="006D455A" w:rsidRDefault="009F5BBD" w:rsidP="006D455A">
      <w:pPr>
        <w:jc w:val="both"/>
        <w:rPr>
          <w:rFonts w:asciiTheme="minorHAnsi" w:hAnsiTheme="minorHAnsi" w:cstheme="minorHAnsi"/>
        </w:rPr>
      </w:pPr>
      <w:r w:rsidRPr="006D455A">
        <w:rPr>
          <w:rFonts w:asciiTheme="minorHAnsi" w:hAnsiTheme="minorHAnsi" w:cstheme="minorHAnsi"/>
        </w:rPr>
        <w:t>A aprovação quantitativa com margem exige simultaneamente score igual ou superior a 58, nenhum pilar abaixo de 30 e excesso anualizado sobre o CDI positivo:</w:t>
      </w:r>
    </w:p>
    <w:p w14:paraId="7E53BB32" w14:textId="41CC8484" w:rsidR="009F5BBD" w:rsidRPr="006D455A" w:rsidRDefault="009F5BBD" w:rsidP="006D455A">
      <w:pPr>
        <w:jc w:val="both"/>
        <w:rPr>
          <w:rFonts w:asciiTheme="minorHAnsi" w:hAnsiTheme="minorHAnsi" w:cstheme="minorHAnsi"/>
          <w:lang w:val="en-US"/>
        </w:rPr>
      </w:pPr>
      <m:oMathPara>
        <m:oMath>
          <m:r>
            <m:rPr>
              <m:sty m:val="p"/>
            </m:rPr>
            <w:rPr>
              <w:rFonts w:ascii="Cambria Math" w:hAnsi="Cambria Math" w:cstheme="minorHAnsi"/>
              <w:lang w:val="en-US"/>
            </w:rPr>
            <m:t xml:space="preserve">S ≥ 58     </m:t>
          </m:r>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mín</m:t>
              </m:r>
            </m:sub>
          </m:sSub>
          <m:r>
            <m:rPr>
              <m:sty m:val="p"/>
            </m:rPr>
            <w:rPr>
              <w:rFonts w:ascii="Cambria Math" w:hAnsi="Cambria Math" w:cstheme="minorHAnsi"/>
              <w:lang w:val="en-US"/>
            </w:rPr>
            <m:t xml:space="preserve"> ≥ 30     </m:t>
          </m:r>
          <m:sSub>
            <m:sSubPr>
              <m:ctrlPr>
                <w:rPr>
                  <w:rFonts w:ascii="Cambria Math" w:hAnsi="Cambria Math" w:cstheme="minorHAnsi"/>
                  <w:lang w:val="en-US"/>
                </w:rPr>
              </m:ctrlPr>
            </m:sSubPr>
            <m:e>
              <m:r>
                <m:rPr>
                  <m:sty m:val="p"/>
                </m:rPr>
                <w:rPr>
                  <w:rFonts w:ascii="Cambria Math" w:hAnsi="Cambria Math" w:cstheme="minorHAnsi"/>
                  <w:lang w:val="en-US"/>
                </w:rPr>
                <m:t>E</m:t>
              </m:r>
            </m:e>
            <m:sub>
              <m:r>
                <m:rPr>
                  <m:sty m:val="p"/>
                </m:rPr>
                <w:rPr>
                  <w:rFonts w:ascii="Cambria Math" w:hAnsi="Cambria Math" w:cstheme="minorHAnsi"/>
                  <w:lang w:val="en-US"/>
                </w:rPr>
                <m:t>anual</m:t>
              </m:r>
            </m:sub>
          </m:sSub>
          <m:r>
            <m:rPr>
              <m:sty m:val="p"/>
            </m:rPr>
            <w:rPr>
              <w:rFonts w:ascii="Cambria Math" w:hAnsi="Cambria Math" w:cstheme="minorHAnsi"/>
              <w:lang w:val="en-US"/>
            </w:rPr>
            <m:t xml:space="preserve"> &gt; 0</m:t>
          </m:r>
        </m:oMath>
      </m:oMathPara>
    </w:p>
    <w:p w14:paraId="6D41778E" w14:textId="77777777" w:rsidR="009F5BBD" w:rsidRPr="006D455A" w:rsidRDefault="009F5BBD" w:rsidP="006D455A">
      <w:pPr>
        <w:jc w:val="both"/>
        <w:rPr>
          <w:rFonts w:asciiTheme="minorHAnsi" w:hAnsiTheme="minorHAnsi" w:cstheme="minorHAnsi"/>
        </w:rPr>
      </w:pPr>
      <w:r w:rsidRPr="006D455A">
        <w:rPr>
          <w:rFonts w:asciiTheme="minorHAnsi" w:hAnsiTheme="minorHAnsi" w:cstheme="minorHAnsi"/>
        </w:rPr>
        <w:t xml:space="preserve">Na ausência de </w:t>
      </w:r>
      <w:proofErr w:type="spellStart"/>
      <w:r w:rsidRPr="006D455A">
        <w:rPr>
          <w:rFonts w:asciiTheme="minorHAnsi" w:hAnsiTheme="minorHAnsi" w:cstheme="minorHAnsi"/>
        </w:rPr>
        <w:t>red</w:t>
      </w:r>
      <w:proofErr w:type="spellEnd"/>
      <w:r w:rsidRPr="006D455A">
        <w:rPr>
          <w:rFonts w:asciiTheme="minorHAnsi" w:hAnsiTheme="minorHAnsi" w:cstheme="minorHAnsi"/>
        </w:rPr>
        <w:t xml:space="preserve"> flag absoluto, ficam na zona cinzenta os fundos com score de 52 a menos de 58 e aqueles com score igual ou superior a 58 que apresentem algum pilar abaixo de 30:</w:t>
      </w:r>
    </w:p>
    <w:p w14:paraId="03946F50" w14:textId="525DF01C" w:rsidR="009F5BBD" w:rsidRPr="006D455A" w:rsidRDefault="009F5BBD" w:rsidP="006D455A">
      <w:pPr>
        <w:jc w:val="both"/>
        <w:rPr>
          <w:rFonts w:asciiTheme="minorHAnsi" w:hAnsiTheme="minorHAnsi" w:cstheme="minorHAnsi"/>
          <w:lang w:val="en-US"/>
        </w:rPr>
      </w:pPr>
      <m:oMathPara>
        <m:oMath>
          <m:sSub>
            <m:sSubPr>
              <m:ctrlPr>
                <w:rPr>
                  <w:rFonts w:ascii="Cambria Math" w:hAnsi="Cambria Math" w:cstheme="minorHAnsi"/>
                  <w:lang w:val="en-US"/>
                </w:rPr>
              </m:ctrlPr>
            </m:sSubPr>
            <m:e>
              <m:r>
                <m:rPr>
                  <m:sty m:val="p"/>
                </m:rPr>
                <w:rPr>
                  <w:rFonts w:ascii="Cambria Math" w:hAnsi="Cambria Math" w:cstheme="minorHAnsi"/>
                  <w:lang w:val="en-US"/>
                </w:rPr>
                <m:t>E</m:t>
              </m:r>
            </m:e>
            <m:sub>
              <m:r>
                <m:rPr>
                  <m:sty m:val="p"/>
                </m:rPr>
                <w:rPr>
                  <w:rFonts w:ascii="Cambria Math" w:hAnsi="Cambria Math" w:cstheme="minorHAnsi"/>
                  <w:lang w:val="en-US"/>
                </w:rPr>
                <m:t>anual</m:t>
              </m:r>
            </m:sub>
          </m:sSub>
          <m:r>
            <m:rPr>
              <m:sty m:val="p"/>
            </m:rPr>
            <w:rPr>
              <w:rFonts w:ascii="Cambria Math" w:hAnsi="Cambria Math" w:cstheme="minorHAnsi"/>
              <w:lang w:val="en-US"/>
            </w:rPr>
            <m:t xml:space="preserve"> &gt; 0     S ≥ 52     (S &lt; 58 ou </m:t>
          </m:r>
          <m:sSub>
            <m:sSubPr>
              <m:ctrlPr>
                <w:rPr>
                  <w:rFonts w:ascii="Cambria Math" w:hAnsi="Cambria Math" w:cstheme="minorHAnsi"/>
                  <w:lang w:val="en-US"/>
                </w:rPr>
              </m:ctrlPr>
            </m:sSubPr>
            <m:e>
              <m:r>
                <m:rPr>
                  <m:sty m:val="p"/>
                </m:rPr>
                <w:rPr>
                  <w:rFonts w:ascii="Cambria Math" w:hAnsi="Cambria Math" w:cstheme="minorHAnsi"/>
                  <w:lang w:val="en-US"/>
                </w:rPr>
                <m:t>N</m:t>
              </m:r>
            </m:e>
            <m:sub>
              <m:r>
                <m:rPr>
                  <m:sty m:val="p"/>
                </m:rPr>
                <w:rPr>
                  <w:rFonts w:ascii="Cambria Math" w:hAnsi="Cambria Math" w:cstheme="minorHAnsi"/>
                  <w:lang w:val="en-US"/>
                </w:rPr>
                <m:t>mín</m:t>
              </m:r>
            </m:sub>
          </m:sSub>
          <m:r>
            <m:rPr>
              <m:sty m:val="p"/>
            </m:rPr>
            <w:rPr>
              <w:rFonts w:ascii="Cambria Math" w:hAnsi="Cambria Math" w:cstheme="minorHAnsi"/>
              <w:lang w:val="en-US"/>
            </w:rPr>
            <m:t xml:space="preserve"> &lt; 30)</m:t>
          </m:r>
        </m:oMath>
      </m:oMathPara>
    </w:p>
    <w:p w14:paraId="707EF2C0" w14:textId="77777777" w:rsidR="009F5BBD" w:rsidRPr="006D455A" w:rsidRDefault="009F5BBD" w:rsidP="006D455A">
      <w:pPr>
        <w:jc w:val="both"/>
        <w:rPr>
          <w:rFonts w:asciiTheme="minorHAnsi" w:hAnsiTheme="minorHAnsi" w:cstheme="minorHAnsi"/>
        </w:rPr>
      </w:pPr>
      <w:r w:rsidRPr="006D455A">
        <w:rPr>
          <w:rFonts w:asciiTheme="minorHAnsi" w:hAnsiTheme="minorHAnsi" w:cstheme="minorHAnsi"/>
        </w:rPr>
        <w:t xml:space="preserve">Fundos com score abaixo de 52 não são aprovados quantitativamente. Excesso anualizado sobre o CDI menor ou igual a zero constitui </w:t>
      </w:r>
      <w:proofErr w:type="spellStart"/>
      <w:r w:rsidRPr="006D455A">
        <w:rPr>
          <w:rFonts w:asciiTheme="minorHAnsi" w:hAnsiTheme="minorHAnsi" w:cstheme="minorHAnsi"/>
        </w:rPr>
        <w:t>red</w:t>
      </w:r>
      <w:proofErr w:type="spellEnd"/>
      <w:r w:rsidRPr="006D455A">
        <w:rPr>
          <w:rFonts w:asciiTheme="minorHAnsi" w:hAnsiTheme="minorHAnsi" w:cstheme="minorHAnsi"/>
        </w:rPr>
        <w:t xml:space="preserve"> flag absoluto e prevalece sobre a nota:</w:t>
      </w:r>
    </w:p>
    <w:p w14:paraId="5133B3C6" w14:textId="200A0E78" w:rsidR="009F5BBD" w:rsidRPr="006D455A" w:rsidRDefault="009F5BBD" w:rsidP="006D455A">
      <w:pPr>
        <w:jc w:val="both"/>
        <w:rPr>
          <w:rFonts w:asciiTheme="minorHAnsi" w:hAnsiTheme="minorHAnsi" w:cstheme="minorHAnsi"/>
          <w:lang w:val="en-US"/>
        </w:rPr>
      </w:pPr>
      <m:oMathPara>
        <m:oMath>
          <m:sSub>
            <m:sSubPr>
              <m:ctrlPr>
                <w:rPr>
                  <w:rFonts w:ascii="Cambria Math" w:hAnsi="Cambria Math" w:cstheme="minorHAnsi"/>
                  <w:lang w:val="en-US"/>
                </w:rPr>
              </m:ctrlPr>
            </m:sSubPr>
            <m:e>
              <m:r>
                <m:rPr>
                  <m:sty m:val="p"/>
                </m:rPr>
                <w:rPr>
                  <w:rFonts w:ascii="Cambria Math" w:hAnsi="Cambria Math" w:cstheme="minorHAnsi"/>
                  <w:lang w:val="en-US"/>
                </w:rPr>
                <m:t>E</m:t>
              </m:r>
            </m:e>
            <m:sub>
              <m:r>
                <m:rPr>
                  <m:sty m:val="p"/>
                </m:rPr>
                <w:rPr>
                  <w:rFonts w:ascii="Cambria Math" w:hAnsi="Cambria Math" w:cstheme="minorHAnsi"/>
                  <w:lang w:val="en-US"/>
                </w:rPr>
                <m:t>anual</m:t>
              </m:r>
            </m:sub>
          </m:sSub>
          <m:r>
            <m:rPr>
              <m:sty m:val="p"/>
            </m:rPr>
            <w:rPr>
              <w:rFonts w:ascii="Cambria Math" w:hAnsi="Cambria Math" w:cstheme="minorHAnsi"/>
              <w:lang w:val="en-US"/>
            </w:rPr>
            <m:t xml:space="preserve"> ≤ 0</m:t>
          </m:r>
        </m:oMath>
      </m:oMathPara>
    </w:p>
    <w:p w14:paraId="47848EDE" w14:textId="77777777" w:rsidR="009F5BBD" w:rsidRPr="006D455A" w:rsidRDefault="009F5BBD" w:rsidP="006D455A">
      <w:pPr>
        <w:jc w:val="both"/>
        <w:rPr>
          <w:rFonts w:asciiTheme="minorHAnsi" w:hAnsiTheme="minorHAnsi" w:cstheme="minorHAnsi"/>
        </w:rPr>
      </w:pPr>
      <w:r w:rsidRPr="006D455A">
        <w:rPr>
          <w:rFonts w:asciiTheme="minorHAnsi" w:hAnsiTheme="minorHAnsi" w:cstheme="minorHAnsi"/>
        </w:rPr>
        <w:t>Drawdown e cauda entre os 10% piores da amostra geram alertas relativos, sem reprovação automática.</w:t>
      </w:r>
    </w:p>
    <w:p w14:paraId="4369AF9E" w14:textId="77777777" w:rsidR="009F5BBD" w:rsidRPr="006D455A" w:rsidRDefault="009F5BBD" w:rsidP="006D455A">
      <w:pPr>
        <w:jc w:val="both"/>
        <w:rPr>
          <w:rFonts w:asciiTheme="minorHAnsi" w:hAnsiTheme="minorHAnsi" w:cstheme="minorHAnsi"/>
        </w:rPr>
      </w:pPr>
      <w:r w:rsidRPr="006D455A">
        <w:rPr>
          <w:rFonts w:asciiTheme="minorHAnsi" w:hAnsiTheme="minorHAnsi" w:cstheme="minorHAnsi"/>
        </w:rPr>
        <w:t>As correlações são utilizadas como diagnóstico de redundância: atenção a partir de 0,80; elevada a partir de 0,85; e muito elevada a partir de 0,90. Correlações e clusters não integram o score de qualidade nem determinam exclusão automática.</w:t>
      </w:r>
    </w:p>
    <w:p w14:paraId="4883197D" w14:textId="77777777" w:rsidR="009F5BBD" w:rsidRPr="006D455A" w:rsidRDefault="009F5BBD" w:rsidP="006D455A">
      <w:pPr>
        <w:jc w:val="both"/>
        <w:rPr>
          <w:rFonts w:asciiTheme="minorHAnsi" w:hAnsiTheme="minorHAnsi" w:cstheme="minorHAnsi"/>
        </w:rPr>
      </w:pPr>
      <w:r w:rsidRPr="006D455A">
        <w:rPr>
          <w:rFonts w:asciiTheme="minorHAnsi" w:hAnsiTheme="minorHAnsi" w:cstheme="minorHAnsi"/>
        </w:rPr>
        <w:t xml:space="preserve">Os parâmetros são escolhas de governança e devem ser reavaliados por análises de sensibilidade, não tratados como constantes naturais. A classificação quantitativa apoia a diligência e o julgamento de investimento; não equivale à aprovação final para alocação. </w:t>
      </w:r>
    </w:p>
    <w:p w14:paraId="2AEF6ADB" w14:textId="22A5080B" w:rsidR="0060282C" w:rsidRPr="006D455A" w:rsidRDefault="0060282C" w:rsidP="006D455A">
      <w:pPr>
        <w:jc w:val="both"/>
        <w:rPr>
          <w:rFonts w:asciiTheme="minorHAnsi" w:hAnsiTheme="minorHAnsi" w:cstheme="minorHAnsi"/>
        </w:rPr>
      </w:pPr>
    </w:p>
    <w:p w14:paraId="3DE30DB4" w14:textId="7C239592" w:rsidR="0060282C" w:rsidRPr="006D455A" w:rsidRDefault="0060282C" w:rsidP="006D455A">
      <w:pPr>
        <w:pStyle w:val="Heading1"/>
        <w:jc w:val="both"/>
        <w:rPr>
          <w:rFonts w:asciiTheme="minorHAnsi" w:hAnsiTheme="minorHAnsi" w:cstheme="minorHAnsi"/>
        </w:rPr>
      </w:pPr>
      <w:r w:rsidRPr="006D455A">
        <w:rPr>
          <w:rFonts w:asciiTheme="minorHAnsi" w:hAnsiTheme="minorHAnsi" w:cstheme="minorHAnsi"/>
        </w:rPr>
        <w:t>Anexo B</w:t>
      </w:r>
      <w:r w:rsidR="006D455A">
        <w:rPr>
          <w:rFonts w:asciiTheme="minorHAnsi" w:hAnsiTheme="minorHAnsi" w:cstheme="minorHAnsi"/>
        </w:rPr>
        <w:t>:</w:t>
      </w:r>
      <w:r w:rsidRPr="006D455A">
        <w:rPr>
          <w:rFonts w:asciiTheme="minorHAnsi" w:hAnsiTheme="minorHAnsi" w:cstheme="minorHAnsi"/>
        </w:rPr>
        <w:t xml:space="preserve"> Leitura estatística e rastreabilidade</w:t>
      </w:r>
    </w:p>
    <w:p w14:paraId="4A918A6E" w14:textId="77777777" w:rsidR="0060282C" w:rsidRPr="006D455A" w:rsidRDefault="0060282C" w:rsidP="006D455A">
      <w:pPr>
        <w:jc w:val="both"/>
        <w:rPr>
          <w:rFonts w:asciiTheme="minorHAnsi" w:hAnsiTheme="minorHAnsi" w:cstheme="minorHAnsi"/>
        </w:rPr>
      </w:pPr>
      <w:proofErr w:type="spellStart"/>
      <w:r w:rsidRPr="006D455A">
        <w:rPr>
          <w:rFonts w:asciiTheme="minorHAnsi" w:hAnsiTheme="minorHAnsi" w:cstheme="minorHAnsi"/>
        </w:rPr>
        <w:t>A</w:t>
      </w:r>
      <w:proofErr w:type="spellEnd"/>
      <w:r w:rsidRPr="006D455A">
        <w:rPr>
          <w:rFonts w:asciiTheme="minorHAnsi" w:hAnsiTheme="minorHAnsi" w:cstheme="minorHAnsi"/>
        </w:rPr>
        <w:t xml:space="preserve"> mediana e o MAD reduzem a influência de extremos sobre a normalização, mas não tornam a amostra representativa do futuro. A função logística é apenas uma transformação monotônica: preserva a ordem da métrica antes de combinar pilares e comprime caudas. As notas não são probabilidades de sucesso, perdas esperadas nem certificações de segurança. Pequenas diferenças próximas aos limiares justificam a fronteira e análise qualitativa.</w:t>
      </w:r>
    </w:p>
    <w:p w14:paraId="2029BDBB" w14:textId="57DC987C" w:rsidR="00B67CD6" w:rsidRPr="006D455A" w:rsidRDefault="0060282C" w:rsidP="006D455A">
      <w:pPr>
        <w:jc w:val="both"/>
        <w:rPr>
          <w:rFonts w:asciiTheme="minorHAnsi" w:hAnsiTheme="minorHAnsi" w:cstheme="minorHAnsi"/>
        </w:rPr>
      </w:pPr>
      <w:r w:rsidRPr="006D455A">
        <w:rPr>
          <w:rFonts w:asciiTheme="minorHAnsi" w:hAnsiTheme="minorHAnsi" w:cstheme="minorHAnsi"/>
        </w:rPr>
        <w:t>O resultado da rodada encerrada em agosto de 2026 deve ser lido junto à data de corte, janela, composição do universo, métricas brutas, notas de pilar, flags e versão dos parâmetros. A análise de sensibilidade deve mostrar se conclusões materiais persistem sob variações razoáveis de pesos e fronteiras. Mudança de classificação entre rodadas deve ser decomposta em dados, universo, parâmetros e comportamento efetivo do fundo.</w:t>
      </w:r>
    </w:p>
    <w:sectPr w:rsidR="00B67CD6" w:rsidRPr="006D455A" w:rsidSect="00DD053C">
      <w:headerReference w:type="default" r:id="rId1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79F16" w14:textId="77777777" w:rsidR="00EC452F" w:rsidRDefault="00EC452F" w:rsidP="00265249">
      <w:pPr>
        <w:spacing w:after="0" w:line="240" w:lineRule="auto"/>
      </w:pPr>
      <w:r>
        <w:separator/>
      </w:r>
    </w:p>
  </w:endnote>
  <w:endnote w:type="continuationSeparator" w:id="0">
    <w:p w14:paraId="4B35BB6C" w14:textId="77777777" w:rsidR="00EC452F" w:rsidRDefault="00EC452F" w:rsidP="00265249">
      <w:pPr>
        <w:spacing w:after="0" w:line="240" w:lineRule="auto"/>
      </w:pPr>
      <w:r>
        <w:continuationSeparator/>
      </w:r>
    </w:p>
  </w:endnote>
  <w:endnote w:type="continuationNotice" w:id="1">
    <w:p w14:paraId="047AFCB0" w14:textId="77777777" w:rsidR="00EC452F" w:rsidRDefault="00EC45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4B482" w14:textId="77777777" w:rsidR="00EC452F" w:rsidRDefault="00EC452F" w:rsidP="00265249">
      <w:pPr>
        <w:spacing w:after="0" w:line="240" w:lineRule="auto"/>
      </w:pPr>
      <w:r>
        <w:separator/>
      </w:r>
    </w:p>
  </w:footnote>
  <w:footnote w:type="continuationSeparator" w:id="0">
    <w:p w14:paraId="3230C9DA" w14:textId="77777777" w:rsidR="00EC452F" w:rsidRDefault="00EC452F" w:rsidP="00265249">
      <w:pPr>
        <w:spacing w:after="0" w:line="240" w:lineRule="auto"/>
      </w:pPr>
      <w:r>
        <w:continuationSeparator/>
      </w:r>
    </w:p>
  </w:footnote>
  <w:footnote w:type="continuationNotice" w:id="1">
    <w:p w14:paraId="1FA97136" w14:textId="77777777" w:rsidR="00EC452F" w:rsidRDefault="00EC45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6011B" w14:textId="77777777" w:rsidR="00265249" w:rsidRDefault="00265249">
    <w:pPr>
      <w:pStyle w:val="Header"/>
    </w:pPr>
    <w:r>
      <w:rPr>
        <w:noProof/>
      </w:rPr>
      <w:drawing>
        <wp:inline distT="0" distB="0" distL="0" distR="0" wp14:anchorId="664A662B" wp14:editId="4F3E5B08">
          <wp:extent cx="1923810" cy="552381"/>
          <wp:effectExtent l="0" t="0" r="635" b="635"/>
          <wp:docPr id="645645751" name="Picture 64564575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45751" name="Picture 1" descr="A close up of a logo&#10;&#10;Description automatically generated"/>
                  <pic:cNvPicPr/>
                </pic:nvPicPr>
                <pic:blipFill>
                  <a:blip r:embed="rId1"/>
                  <a:stretch>
                    <a:fillRect/>
                  </a:stretch>
                </pic:blipFill>
                <pic:spPr>
                  <a:xfrm>
                    <a:off x="0" y="0"/>
                    <a:ext cx="1923810" cy="552381"/>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32D"/>
    <w:multiLevelType w:val="hybridMultilevel"/>
    <w:tmpl w:val="2850FB2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A767726"/>
    <w:multiLevelType w:val="multilevel"/>
    <w:tmpl w:val="63B6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23CCD"/>
    <w:multiLevelType w:val="multilevel"/>
    <w:tmpl w:val="709A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1745B"/>
    <w:multiLevelType w:val="multilevel"/>
    <w:tmpl w:val="0AA8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B6E6F"/>
    <w:multiLevelType w:val="multilevel"/>
    <w:tmpl w:val="F3CA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25833"/>
    <w:multiLevelType w:val="multilevel"/>
    <w:tmpl w:val="E6FE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753DA"/>
    <w:multiLevelType w:val="hybridMultilevel"/>
    <w:tmpl w:val="1180BD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7B47658"/>
    <w:multiLevelType w:val="multilevel"/>
    <w:tmpl w:val="CFA0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777FE"/>
    <w:multiLevelType w:val="hybridMultilevel"/>
    <w:tmpl w:val="5E7405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A4271B"/>
    <w:multiLevelType w:val="multilevel"/>
    <w:tmpl w:val="E0BC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02774"/>
    <w:multiLevelType w:val="multilevel"/>
    <w:tmpl w:val="7D1E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934FB4"/>
    <w:multiLevelType w:val="multilevel"/>
    <w:tmpl w:val="00F2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06771"/>
    <w:multiLevelType w:val="hybridMultilevel"/>
    <w:tmpl w:val="EDD23E0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CC45AD2"/>
    <w:multiLevelType w:val="multilevel"/>
    <w:tmpl w:val="EA16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3177B8"/>
    <w:multiLevelType w:val="hybridMultilevel"/>
    <w:tmpl w:val="9CAA991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76C36B51"/>
    <w:multiLevelType w:val="hybridMultilevel"/>
    <w:tmpl w:val="CD12B97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2066682720">
    <w:abstractNumId w:val="4"/>
  </w:num>
  <w:num w:numId="2" w16cid:durableId="1428695057">
    <w:abstractNumId w:val="8"/>
  </w:num>
  <w:num w:numId="3" w16cid:durableId="701243715">
    <w:abstractNumId w:val="6"/>
  </w:num>
  <w:num w:numId="4" w16cid:durableId="1134984499">
    <w:abstractNumId w:val="11"/>
  </w:num>
  <w:num w:numId="5" w16cid:durableId="528178581">
    <w:abstractNumId w:val="13"/>
  </w:num>
  <w:num w:numId="6" w16cid:durableId="1809980741">
    <w:abstractNumId w:val="9"/>
  </w:num>
  <w:num w:numId="7" w16cid:durableId="1030374849">
    <w:abstractNumId w:val="2"/>
  </w:num>
  <w:num w:numId="8" w16cid:durableId="2016612575">
    <w:abstractNumId w:val="5"/>
  </w:num>
  <w:num w:numId="9" w16cid:durableId="1665275965">
    <w:abstractNumId w:val="10"/>
  </w:num>
  <w:num w:numId="10" w16cid:durableId="1002049159">
    <w:abstractNumId w:val="3"/>
  </w:num>
  <w:num w:numId="11" w16cid:durableId="1843817914">
    <w:abstractNumId w:val="1"/>
  </w:num>
  <w:num w:numId="12" w16cid:durableId="1093430603">
    <w:abstractNumId w:val="7"/>
  </w:num>
  <w:num w:numId="13" w16cid:durableId="1882279880">
    <w:abstractNumId w:val="12"/>
  </w:num>
  <w:num w:numId="14" w16cid:durableId="1884829990">
    <w:abstractNumId w:val="0"/>
  </w:num>
  <w:num w:numId="15" w16cid:durableId="328558970">
    <w:abstractNumId w:val="14"/>
  </w:num>
  <w:num w:numId="16" w16cid:durableId="1055394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ocumentProtection w:edit="trackedChanges" w:enforcement="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602"/>
    <w:rsid w:val="00000AB8"/>
    <w:rsid w:val="000034EF"/>
    <w:rsid w:val="00015EC6"/>
    <w:rsid w:val="00016FCF"/>
    <w:rsid w:val="0002048C"/>
    <w:rsid w:val="000236B3"/>
    <w:rsid w:val="00026806"/>
    <w:rsid w:val="00030EF8"/>
    <w:rsid w:val="00031278"/>
    <w:rsid w:val="00042742"/>
    <w:rsid w:val="00043D21"/>
    <w:rsid w:val="00044622"/>
    <w:rsid w:val="00047149"/>
    <w:rsid w:val="00050B3D"/>
    <w:rsid w:val="00053D91"/>
    <w:rsid w:val="00055EEC"/>
    <w:rsid w:val="00061B10"/>
    <w:rsid w:val="00061E27"/>
    <w:rsid w:val="00066F08"/>
    <w:rsid w:val="00067240"/>
    <w:rsid w:val="00072849"/>
    <w:rsid w:val="00076DE2"/>
    <w:rsid w:val="00080F13"/>
    <w:rsid w:val="0008119F"/>
    <w:rsid w:val="0008610B"/>
    <w:rsid w:val="000862EE"/>
    <w:rsid w:val="00086FBA"/>
    <w:rsid w:val="000873E9"/>
    <w:rsid w:val="0009291D"/>
    <w:rsid w:val="000969A5"/>
    <w:rsid w:val="000A616B"/>
    <w:rsid w:val="000B10EB"/>
    <w:rsid w:val="000B656A"/>
    <w:rsid w:val="000B66EF"/>
    <w:rsid w:val="000B7601"/>
    <w:rsid w:val="000C12CB"/>
    <w:rsid w:val="000C36A6"/>
    <w:rsid w:val="000C6F24"/>
    <w:rsid w:val="000D2E70"/>
    <w:rsid w:val="000D4AB1"/>
    <w:rsid w:val="000E2196"/>
    <w:rsid w:val="000E29B9"/>
    <w:rsid w:val="000E29D8"/>
    <w:rsid w:val="000E48E2"/>
    <w:rsid w:val="000E5FFB"/>
    <w:rsid w:val="000E7E75"/>
    <w:rsid w:val="000E7FF4"/>
    <w:rsid w:val="000F044B"/>
    <w:rsid w:val="000F0FF3"/>
    <w:rsid w:val="000F2449"/>
    <w:rsid w:val="000F2C97"/>
    <w:rsid w:val="000F4808"/>
    <w:rsid w:val="000F4EC6"/>
    <w:rsid w:val="000F5BA1"/>
    <w:rsid w:val="001028C8"/>
    <w:rsid w:val="00105DD0"/>
    <w:rsid w:val="00107BA9"/>
    <w:rsid w:val="001101CC"/>
    <w:rsid w:val="001107A3"/>
    <w:rsid w:val="0011084E"/>
    <w:rsid w:val="00112E73"/>
    <w:rsid w:val="00116791"/>
    <w:rsid w:val="00117350"/>
    <w:rsid w:val="00122342"/>
    <w:rsid w:val="00126307"/>
    <w:rsid w:val="00126B9B"/>
    <w:rsid w:val="00127BD5"/>
    <w:rsid w:val="0013097F"/>
    <w:rsid w:val="00135D20"/>
    <w:rsid w:val="00136ABC"/>
    <w:rsid w:val="00136E1C"/>
    <w:rsid w:val="00142353"/>
    <w:rsid w:val="001427E5"/>
    <w:rsid w:val="0014497A"/>
    <w:rsid w:val="0014629A"/>
    <w:rsid w:val="001476C2"/>
    <w:rsid w:val="00151F9F"/>
    <w:rsid w:val="00155AE3"/>
    <w:rsid w:val="00162FC7"/>
    <w:rsid w:val="00165719"/>
    <w:rsid w:val="001678B1"/>
    <w:rsid w:val="00170384"/>
    <w:rsid w:val="00171190"/>
    <w:rsid w:val="00173D7D"/>
    <w:rsid w:val="00180103"/>
    <w:rsid w:val="00187E1A"/>
    <w:rsid w:val="00196C0D"/>
    <w:rsid w:val="00197B2A"/>
    <w:rsid w:val="001A2EAA"/>
    <w:rsid w:val="001A5EF0"/>
    <w:rsid w:val="001A6C5A"/>
    <w:rsid w:val="001B2481"/>
    <w:rsid w:val="001B2D0B"/>
    <w:rsid w:val="001B62F1"/>
    <w:rsid w:val="001B6D4F"/>
    <w:rsid w:val="001C3861"/>
    <w:rsid w:val="001C402F"/>
    <w:rsid w:val="001C700C"/>
    <w:rsid w:val="001C7B42"/>
    <w:rsid w:val="001D2E78"/>
    <w:rsid w:val="001D7027"/>
    <w:rsid w:val="001E09A2"/>
    <w:rsid w:val="001E36C5"/>
    <w:rsid w:val="001E6B50"/>
    <w:rsid w:val="001E6E26"/>
    <w:rsid w:val="001E7949"/>
    <w:rsid w:val="001F44E4"/>
    <w:rsid w:val="0020448A"/>
    <w:rsid w:val="00205FCE"/>
    <w:rsid w:val="00207306"/>
    <w:rsid w:val="00212821"/>
    <w:rsid w:val="00213806"/>
    <w:rsid w:val="00224787"/>
    <w:rsid w:val="002250AA"/>
    <w:rsid w:val="00242AD3"/>
    <w:rsid w:val="002445A0"/>
    <w:rsid w:val="00251B3A"/>
    <w:rsid w:val="00252C91"/>
    <w:rsid w:val="0025657B"/>
    <w:rsid w:val="002650DA"/>
    <w:rsid w:val="00265249"/>
    <w:rsid w:val="0027116D"/>
    <w:rsid w:val="0027159D"/>
    <w:rsid w:val="0027251F"/>
    <w:rsid w:val="00274FBB"/>
    <w:rsid w:val="00276983"/>
    <w:rsid w:val="00281A17"/>
    <w:rsid w:val="002828C8"/>
    <w:rsid w:val="002834E5"/>
    <w:rsid w:val="002837E8"/>
    <w:rsid w:val="002902BB"/>
    <w:rsid w:val="002913F3"/>
    <w:rsid w:val="00297E24"/>
    <w:rsid w:val="002A11FA"/>
    <w:rsid w:val="002A1E05"/>
    <w:rsid w:val="002A2539"/>
    <w:rsid w:val="002A5AD3"/>
    <w:rsid w:val="002B7DA8"/>
    <w:rsid w:val="002D116F"/>
    <w:rsid w:val="002D5412"/>
    <w:rsid w:val="002E0CF9"/>
    <w:rsid w:val="002E1B59"/>
    <w:rsid w:val="002E1DF9"/>
    <w:rsid w:val="002F04A5"/>
    <w:rsid w:val="002F24FA"/>
    <w:rsid w:val="002F7335"/>
    <w:rsid w:val="002F794F"/>
    <w:rsid w:val="00303BAA"/>
    <w:rsid w:val="00303ED0"/>
    <w:rsid w:val="003079F4"/>
    <w:rsid w:val="00313313"/>
    <w:rsid w:val="003173A1"/>
    <w:rsid w:val="00317E70"/>
    <w:rsid w:val="00323660"/>
    <w:rsid w:val="003253E4"/>
    <w:rsid w:val="0033133F"/>
    <w:rsid w:val="00332C66"/>
    <w:rsid w:val="003332C8"/>
    <w:rsid w:val="00333333"/>
    <w:rsid w:val="00336588"/>
    <w:rsid w:val="00337BA0"/>
    <w:rsid w:val="0034065D"/>
    <w:rsid w:val="003420CC"/>
    <w:rsid w:val="00347E00"/>
    <w:rsid w:val="00350F13"/>
    <w:rsid w:val="00354861"/>
    <w:rsid w:val="00355F50"/>
    <w:rsid w:val="00355F90"/>
    <w:rsid w:val="003679EF"/>
    <w:rsid w:val="003705F5"/>
    <w:rsid w:val="00371B54"/>
    <w:rsid w:val="00372D3D"/>
    <w:rsid w:val="00373DAD"/>
    <w:rsid w:val="00381304"/>
    <w:rsid w:val="00385668"/>
    <w:rsid w:val="003928AA"/>
    <w:rsid w:val="0039451D"/>
    <w:rsid w:val="00396A6D"/>
    <w:rsid w:val="003A182C"/>
    <w:rsid w:val="003A2231"/>
    <w:rsid w:val="003A2650"/>
    <w:rsid w:val="003A2A87"/>
    <w:rsid w:val="003A6030"/>
    <w:rsid w:val="003A6AD1"/>
    <w:rsid w:val="003B4DEA"/>
    <w:rsid w:val="003C3917"/>
    <w:rsid w:val="003C39AE"/>
    <w:rsid w:val="003C3DC4"/>
    <w:rsid w:val="003C565C"/>
    <w:rsid w:val="003D4E6B"/>
    <w:rsid w:val="003D537C"/>
    <w:rsid w:val="003D6EE4"/>
    <w:rsid w:val="003E16B4"/>
    <w:rsid w:val="003E3AE3"/>
    <w:rsid w:val="003F17FC"/>
    <w:rsid w:val="003F1BF5"/>
    <w:rsid w:val="003F1DB0"/>
    <w:rsid w:val="003F1FCD"/>
    <w:rsid w:val="003F75FF"/>
    <w:rsid w:val="004031B5"/>
    <w:rsid w:val="00406DB3"/>
    <w:rsid w:val="00407523"/>
    <w:rsid w:val="00407F54"/>
    <w:rsid w:val="00410ED9"/>
    <w:rsid w:val="00413DE9"/>
    <w:rsid w:val="0041437C"/>
    <w:rsid w:val="00420E3B"/>
    <w:rsid w:val="0042282C"/>
    <w:rsid w:val="00422BFE"/>
    <w:rsid w:val="00432735"/>
    <w:rsid w:val="00436523"/>
    <w:rsid w:val="00444249"/>
    <w:rsid w:val="004443A7"/>
    <w:rsid w:val="0044452D"/>
    <w:rsid w:val="00444AFC"/>
    <w:rsid w:val="00444DC1"/>
    <w:rsid w:val="00446320"/>
    <w:rsid w:val="00447127"/>
    <w:rsid w:val="004533D7"/>
    <w:rsid w:val="00456D09"/>
    <w:rsid w:val="004605B5"/>
    <w:rsid w:val="00461CDC"/>
    <w:rsid w:val="00462063"/>
    <w:rsid w:val="004622EA"/>
    <w:rsid w:val="00466227"/>
    <w:rsid w:val="004707AE"/>
    <w:rsid w:val="00472007"/>
    <w:rsid w:val="004736B6"/>
    <w:rsid w:val="00477847"/>
    <w:rsid w:val="00483EF4"/>
    <w:rsid w:val="004A16B5"/>
    <w:rsid w:val="004A248B"/>
    <w:rsid w:val="004B18EA"/>
    <w:rsid w:val="004B1D42"/>
    <w:rsid w:val="004B3094"/>
    <w:rsid w:val="004B5023"/>
    <w:rsid w:val="004C6279"/>
    <w:rsid w:val="004C77B1"/>
    <w:rsid w:val="004D1B28"/>
    <w:rsid w:val="004D467B"/>
    <w:rsid w:val="004D6A02"/>
    <w:rsid w:val="004E0CC2"/>
    <w:rsid w:val="004E1375"/>
    <w:rsid w:val="004E23E7"/>
    <w:rsid w:val="004E3BAB"/>
    <w:rsid w:val="004E5557"/>
    <w:rsid w:val="00501D36"/>
    <w:rsid w:val="005115DF"/>
    <w:rsid w:val="00511DC3"/>
    <w:rsid w:val="00514271"/>
    <w:rsid w:val="00514D2B"/>
    <w:rsid w:val="00522E8C"/>
    <w:rsid w:val="005248E4"/>
    <w:rsid w:val="00525253"/>
    <w:rsid w:val="00525CCA"/>
    <w:rsid w:val="005262F3"/>
    <w:rsid w:val="00526D29"/>
    <w:rsid w:val="00535DDD"/>
    <w:rsid w:val="005379AD"/>
    <w:rsid w:val="00541FAF"/>
    <w:rsid w:val="00542047"/>
    <w:rsid w:val="00543BAB"/>
    <w:rsid w:val="005500B6"/>
    <w:rsid w:val="00550420"/>
    <w:rsid w:val="00550A39"/>
    <w:rsid w:val="00551BD8"/>
    <w:rsid w:val="0056100D"/>
    <w:rsid w:val="005648B3"/>
    <w:rsid w:val="00565E03"/>
    <w:rsid w:val="005716F1"/>
    <w:rsid w:val="00573810"/>
    <w:rsid w:val="00577479"/>
    <w:rsid w:val="00582689"/>
    <w:rsid w:val="0058419F"/>
    <w:rsid w:val="00585174"/>
    <w:rsid w:val="00585AAA"/>
    <w:rsid w:val="00594BA4"/>
    <w:rsid w:val="005956DC"/>
    <w:rsid w:val="005A28B2"/>
    <w:rsid w:val="005A29B1"/>
    <w:rsid w:val="005B107C"/>
    <w:rsid w:val="005B1BF0"/>
    <w:rsid w:val="005B2692"/>
    <w:rsid w:val="005B2EF7"/>
    <w:rsid w:val="005B3399"/>
    <w:rsid w:val="005B6709"/>
    <w:rsid w:val="005B7694"/>
    <w:rsid w:val="005C05D1"/>
    <w:rsid w:val="005C2EF6"/>
    <w:rsid w:val="005C5240"/>
    <w:rsid w:val="005C6887"/>
    <w:rsid w:val="005D7852"/>
    <w:rsid w:val="005E1009"/>
    <w:rsid w:val="005E2BB1"/>
    <w:rsid w:val="005E60F3"/>
    <w:rsid w:val="005E6DEB"/>
    <w:rsid w:val="005F1F18"/>
    <w:rsid w:val="005F6EBA"/>
    <w:rsid w:val="0060125D"/>
    <w:rsid w:val="00601C57"/>
    <w:rsid w:val="0060244A"/>
    <w:rsid w:val="0060282C"/>
    <w:rsid w:val="00603CDD"/>
    <w:rsid w:val="006118E3"/>
    <w:rsid w:val="00617153"/>
    <w:rsid w:val="00622B4A"/>
    <w:rsid w:val="00624236"/>
    <w:rsid w:val="00624877"/>
    <w:rsid w:val="00626F10"/>
    <w:rsid w:val="0063361E"/>
    <w:rsid w:val="00633B60"/>
    <w:rsid w:val="00634D1A"/>
    <w:rsid w:val="00642676"/>
    <w:rsid w:val="00645117"/>
    <w:rsid w:val="00647ED6"/>
    <w:rsid w:val="00650901"/>
    <w:rsid w:val="006527DC"/>
    <w:rsid w:val="00652AE8"/>
    <w:rsid w:val="0065352A"/>
    <w:rsid w:val="0065414B"/>
    <w:rsid w:val="00657BD5"/>
    <w:rsid w:val="006616B4"/>
    <w:rsid w:val="0066731D"/>
    <w:rsid w:val="00670F40"/>
    <w:rsid w:val="00674E0F"/>
    <w:rsid w:val="00675A16"/>
    <w:rsid w:val="00676EA3"/>
    <w:rsid w:val="00676EA9"/>
    <w:rsid w:val="006802AD"/>
    <w:rsid w:val="0068074D"/>
    <w:rsid w:val="00681270"/>
    <w:rsid w:val="0068213C"/>
    <w:rsid w:val="00686B5A"/>
    <w:rsid w:val="00691FBE"/>
    <w:rsid w:val="006924E5"/>
    <w:rsid w:val="006954DF"/>
    <w:rsid w:val="006977E9"/>
    <w:rsid w:val="006A13D0"/>
    <w:rsid w:val="006A4AB7"/>
    <w:rsid w:val="006B1EBD"/>
    <w:rsid w:val="006B25F0"/>
    <w:rsid w:val="006B37EE"/>
    <w:rsid w:val="006C315E"/>
    <w:rsid w:val="006C33AD"/>
    <w:rsid w:val="006D2FE4"/>
    <w:rsid w:val="006D3457"/>
    <w:rsid w:val="006D455A"/>
    <w:rsid w:val="006D5D44"/>
    <w:rsid w:val="006D7CD6"/>
    <w:rsid w:val="006E09CA"/>
    <w:rsid w:val="006E0BF5"/>
    <w:rsid w:val="006E20E4"/>
    <w:rsid w:val="006E4226"/>
    <w:rsid w:val="006E47C9"/>
    <w:rsid w:val="006E6593"/>
    <w:rsid w:val="006E704B"/>
    <w:rsid w:val="006F171B"/>
    <w:rsid w:val="006F21B8"/>
    <w:rsid w:val="006F68C6"/>
    <w:rsid w:val="007037DC"/>
    <w:rsid w:val="007040FC"/>
    <w:rsid w:val="00706026"/>
    <w:rsid w:val="0070745E"/>
    <w:rsid w:val="007112CE"/>
    <w:rsid w:val="00712064"/>
    <w:rsid w:val="007129BB"/>
    <w:rsid w:val="00713DE5"/>
    <w:rsid w:val="0071612D"/>
    <w:rsid w:val="00721439"/>
    <w:rsid w:val="00723878"/>
    <w:rsid w:val="00723E3C"/>
    <w:rsid w:val="00726BFC"/>
    <w:rsid w:val="00726D21"/>
    <w:rsid w:val="00727AA0"/>
    <w:rsid w:val="00732804"/>
    <w:rsid w:val="00733988"/>
    <w:rsid w:val="00733D37"/>
    <w:rsid w:val="00737E79"/>
    <w:rsid w:val="007435D1"/>
    <w:rsid w:val="007455D5"/>
    <w:rsid w:val="00745B4F"/>
    <w:rsid w:val="00747F74"/>
    <w:rsid w:val="0075613B"/>
    <w:rsid w:val="00762592"/>
    <w:rsid w:val="007651DC"/>
    <w:rsid w:val="00765495"/>
    <w:rsid w:val="00766CA9"/>
    <w:rsid w:val="0076757F"/>
    <w:rsid w:val="00772457"/>
    <w:rsid w:val="0077258A"/>
    <w:rsid w:val="0077294B"/>
    <w:rsid w:val="00774A16"/>
    <w:rsid w:val="00775009"/>
    <w:rsid w:val="00775844"/>
    <w:rsid w:val="0078013E"/>
    <w:rsid w:val="00790C1A"/>
    <w:rsid w:val="007933F1"/>
    <w:rsid w:val="007A008B"/>
    <w:rsid w:val="007A0E37"/>
    <w:rsid w:val="007A0F40"/>
    <w:rsid w:val="007A12F9"/>
    <w:rsid w:val="007A79D5"/>
    <w:rsid w:val="007B3D7A"/>
    <w:rsid w:val="007C04BA"/>
    <w:rsid w:val="007C334E"/>
    <w:rsid w:val="007D1613"/>
    <w:rsid w:val="007D382B"/>
    <w:rsid w:val="007E1E1D"/>
    <w:rsid w:val="007E524F"/>
    <w:rsid w:val="007F2216"/>
    <w:rsid w:val="007F25B7"/>
    <w:rsid w:val="007F4453"/>
    <w:rsid w:val="007F5427"/>
    <w:rsid w:val="007F5C40"/>
    <w:rsid w:val="0080060D"/>
    <w:rsid w:val="008016C3"/>
    <w:rsid w:val="008033FF"/>
    <w:rsid w:val="00803DC2"/>
    <w:rsid w:val="00804F9A"/>
    <w:rsid w:val="0080528C"/>
    <w:rsid w:val="00806787"/>
    <w:rsid w:val="00807064"/>
    <w:rsid w:val="008141F3"/>
    <w:rsid w:val="00814E5A"/>
    <w:rsid w:val="00822AE1"/>
    <w:rsid w:val="00824BB3"/>
    <w:rsid w:val="00840698"/>
    <w:rsid w:val="00841DAC"/>
    <w:rsid w:val="008439D4"/>
    <w:rsid w:val="0084433D"/>
    <w:rsid w:val="008455EC"/>
    <w:rsid w:val="008461EA"/>
    <w:rsid w:val="00850220"/>
    <w:rsid w:val="00850E10"/>
    <w:rsid w:val="008607C1"/>
    <w:rsid w:val="008617A0"/>
    <w:rsid w:val="00866DED"/>
    <w:rsid w:val="008821F4"/>
    <w:rsid w:val="008828D7"/>
    <w:rsid w:val="008902B7"/>
    <w:rsid w:val="008921DE"/>
    <w:rsid w:val="00893B3A"/>
    <w:rsid w:val="008942B9"/>
    <w:rsid w:val="008943D3"/>
    <w:rsid w:val="00895D16"/>
    <w:rsid w:val="008A06A6"/>
    <w:rsid w:val="008A2556"/>
    <w:rsid w:val="008A2875"/>
    <w:rsid w:val="008A3B44"/>
    <w:rsid w:val="008A4380"/>
    <w:rsid w:val="008A53F8"/>
    <w:rsid w:val="008B3969"/>
    <w:rsid w:val="008B53AB"/>
    <w:rsid w:val="008B6618"/>
    <w:rsid w:val="008C0ECC"/>
    <w:rsid w:val="008C25EA"/>
    <w:rsid w:val="008C2BA6"/>
    <w:rsid w:val="008C34B9"/>
    <w:rsid w:val="008C3BC5"/>
    <w:rsid w:val="008C601E"/>
    <w:rsid w:val="008C749E"/>
    <w:rsid w:val="008D0391"/>
    <w:rsid w:val="008D6FAC"/>
    <w:rsid w:val="008E3C0F"/>
    <w:rsid w:val="008E57AD"/>
    <w:rsid w:val="008E6526"/>
    <w:rsid w:val="008E75F3"/>
    <w:rsid w:val="008F161B"/>
    <w:rsid w:val="008F2164"/>
    <w:rsid w:val="008F6915"/>
    <w:rsid w:val="009066E5"/>
    <w:rsid w:val="009074B8"/>
    <w:rsid w:val="009079E5"/>
    <w:rsid w:val="009106EA"/>
    <w:rsid w:val="00912430"/>
    <w:rsid w:val="009162DA"/>
    <w:rsid w:val="00923BCF"/>
    <w:rsid w:val="00923F6E"/>
    <w:rsid w:val="00926C3F"/>
    <w:rsid w:val="00927A1D"/>
    <w:rsid w:val="00927AF9"/>
    <w:rsid w:val="00936AA4"/>
    <w:rsid w:val="009400AC"/>
    <w:rsid w:val="00943300"/>
    <w:rsid w:val="00944DA0"/>
    <w:rsid w:val="0095661A"/>
    <w:rsid w:val="00957922"/>
    <w:rsid w:val="009618E5"/>
    <w:rsid w:val="00962194"/>
    <w:rsid w:val="009628FB"/>
    <w:rsid w:val="00965656"/>
    <w:rsid w:val="009667F1"/>
    <w:rsid w:val="00966BF7"/>
    <w:rsid w:val="00976654"/>
    <w:rsid w:val="0098096A"/>
    <w:rsid w:val="00980FFA"/>
    <w:rsid w:val="00987877"/>
    <w:rsid w:val="00991301"/>
    <w:rsid w:val="00993036"/>
    <w:rsid w:val="0099600E"/>
    <w:rsid w:val="009A3E4B"/>
    <w:rsid w:val="009B3F91"/>
    <w:rsid w:val="009B454F"/>
    <w:rsid w:val="009B67AC"/>
    <w:rsid w:val="009C518B"/>
    <w:rsid w:val="009C7FA2"/>
    <w:rsid w:val="009D21F1"/>
    <w:rsid w:val="009D2C55"/>
    <w:rsid w:val="009D33F8"/>
    <w:rsid w:val="009D368D"/>
    <w:rsid w:val="009D535B"/>
    <w:rsid w:val="009D78BC"/>
    <w:rsid w:val="009E03D6"/>
    <w:rsid w:val="009E4068"/>
    <w:rsid w:val="009E623A"/>
    <w:rsid w:val="009E657A"/>
    <w:rsid w:val="009F5BBD"/>
    <w:rsid w:val="009F67C7"/>
    <w:rsid w:val="009F76DC"/>
    <w:rsid w:val="00A005AB"/>
    <w:rsid w:val="00A00C78"/>
    <w:rsid w:val="00A11B9F"/>
    <w:rsid w:val="00A13B3D"/>
    <w:rsid w:val="00A21386"/>
    <w:rsid w:val="00A21888"/>
    <w:rsid w:val="00A233F1"/>
    <w:rsid w:val="00A25289"/>
    <w:rsid w:val="00A27C62"/>
    <w:rsid w:val="00A31D1C"/>
    <w:rsid w:val="00A341F3"/>
    <w:rsid w:val="00A350B9"/>
    <w:rsid w:val="00A35E38"/>
    <w:rsid w:val="00A41E33"/>
    <w:rsid w:val="00A46309"/>
    <w:rsid w:val="00A51C25"/>
    <w:rsid w:val="00A51D8F"/>
    <w:rsid w:val="00A535CE"/>
    <w:rsid w:val="00A5366E"/>
    <w:rsid w:val="00A55747"/>
    <w:rsid w:val="00A564A8"/>
    <w:rsid w:val="00A61095"/>
    <w:rsid w:val="00A621BC"/>
    <w:rsid w:val="00A63A44"/>
    <w:rsid w:val="00A70E60"/>
    <w:rsid w:val="00A743D8"/>
    <w:rsid w:val="00A75EA9"/>
    <w:rsid w:val="00A80B7F"/>
    <w:rsid w:val="00A813FA"/>
    <w:rsid w:val="00A90C0C"/>
    <w:rsid w:val="00A9209B"/>
    <w:rsid w:val="00A9262A"/>
    <w:rsid w:val="00A93E14"/>
    <w:rsid w:val="00A94269"/>
    <w:rsid w:val="00A945B7"/>
    <w:rsid w:val="00AA0394"/>
    <w:rsid w:val="00AA2D5B"/>
    <w:rsid w:val="00AB05E6"/>
    <w:rsid w:val="00AB0A8E"/>
    <w:rsid w:val="00AB5A08"/>
    <w:rsid w:val="00AB5A4D"/>
    <w:rsid w:val="00AB7E32"/>
    <w:rsid w:val="00AC1525"/>
    <w:rsid w:val="00AC1648"/>
    <w:rsid w:val="00AC193D"/>
    <w:rsid w:val="00AD028D"/>
    <w:rsid w:val="00AD17E9"/>
    <w:rsid w:val="00AD1F57"/>
    <w:rsid w:val="00AE4EA9"/>
    <w:rsid w:val="00AF13F5"/>
    <w:rsid w:val="00AF33B4"/>
    <w:rsid w:val="00B0068C"/>
    <w:rsid w:val="00B01D37"/>
    <w:rsid w:val="00B03232"/>
    <w:rsid w:val="00B05BF3"/>
    <w:rsid w:val="00B11381"/>
    <w:rsid w:val="00B11F17"/>
    <w:rsid w:val="00B12A4E"/>
    <w:rsid w:val="00B14D3E"/>
    <w:rsid w:val="00B1570E"/>
    <w:rsid w:val="00B20EC4"/>
    <w:rsid w:val="00B239E8"/>
    <w:rsid w:val="00B30B79"/>
    <w:rsid w:val="00B316E9"/>
    <w:rsid w:val="00B34B20"/>
    <w:rsid w:val="00B35DEF"/>
    <w:rsid w:val="00B36CC8"/>
    <w:rsid w:val="00B37F8B"/>
    <w:rsid w:val="00B41A72"/>
    <w:rsid w:val="00B43EAD"/>
    <w:rsid w:val="00B441B6"/>
    <w:rsid w:val="00B45136"/>
    <w:rsid w:val="00B61541"/>
    <w:rsid w:val="00B62E46"/>
    <w:rsid w:val="00B63BDC"/>
    <w:rsid w:val="00B64755"/>
    <w:rsid w:val="00B6733C"/>
    <w:rsid w:val="00B67CD6"/>
    <w:rsid w:val="00B75F55"/>
    <w:rsid w:val="00B811E1"/>
    <w:rsid w:val="00B904AF"/>
    <w:rsid w:val="00B91163"/>
    <w:rsid w:val="00B9502A"/>
    <w:rsid w:val="00B96A58"/>
    <w:rsid w:val="00BA0ECD"/>
    <w:rsid w:val="00BA433C"/>
    <w:rsid w:val="00BB0C28"/>
    <w:rsid w:val="00BB6984"/>
    <w:rsid w:val="00BB6EF7"/>
    <w:rsid w:val="00BC1BCF"/>
    <w:rsid w:val="00BC5398"/>
    <w:rsid w:val="00BC581C"/>
    <w:rsid w:val="00BC798C"/>
    <w:rsid w:val="00BD2463"/>
    <w:rsid w:val="00BD2C5A"/>
    <w:rsid w:val="00BE1332"/>
    <w:rsid w:val="00BF42F5"/>
    <w:rsid w:val="00BF4648"/>
    <w:rsid w:val="00BF7183"/>
    <w:rsid w:val="00C00A2D"/>
    <w:rsid w:val="00C017DB"/>
    <w:rsid w:val="00C01F43"/>
    <w:rsid w:val="00C023F3"/>
    <w:rsid w:val="00C03BF8"/>
    <w:rsid w:val="00C05945"/>
    <w:rsid w:val="00C11E48"/>
    <w:rsid w:val="00C172B0"/>
    <w:rsid w:val="00C1792D"/>
    <w:rsid w:val="00C243C2"/>
    <w:rsid w:val="00C4021F"/>
    <w:rsid w:val="00C41311"/>
    <w:rsid w:val="00C41510"/>
    <w:rsid w:val="00C41C3E"/>
    <w:rsid w:val="00C43BBE"/>
    <w:rsid w:val="00C45BE9"/>
    <w:rsid w:val="00C507F0"/>
    <w:rsid w:val="00C54E1A"/>
    <w:rsid w:val="00C633EE"/>
    <w:rsid w:val="00C66093"/>
    <w:rsid w:val="00C671FD"/>
    <w:rsid w:val="00C70656"/>
    <w:rsid w:val="00C7181D"/>
    <w:rsid w:val="00C73FAF"/>
    <w:rsid w:val="00C81DFB"/>
    <w:rsid w:val="00C9067C"/>
    <w:rsid w:val="00C91954"/>
    <w:rsid w:val="00C92B9C"/>
    <w:rsid w:val="00CA0805"/>
    <w:rsid w:val="00CA0D17"/>
    <w:rsid w:val="00CA0F9A"/>
    <w:rsid w:val="00CA1B8C"/>
    <w:rsid w:val="00CA2517"/>
    <w:rsid w:val="00CA2BDB"/>
    <w:rsid w:val="00CA3EB7"/>
    <w:rsid w:val="00CA5E3D"/>
    <w:rsid w:val="00CA656A"/>
    <w:rsid w:val="00CA7AA0"/>
    <w:rsid w:val="00CB1D04"/>
    <w:rsid w:val="00CB2DFD"/>
    <w:rsid w:val="00CB32AE"/>
    <w:rsid w:val="00CB6541"/>
    <w:rsid w:val="00CC06AA"/>
    <w:rsid w:val="00CC1BBB"/>
    <w:rsid w:val="00CC3C80"/>
    <w:rsid w:val="00CC3D85"/>
    <w:rsid w:val="00CC416B"/>
    <w:rsid w:val="00CD4B93"/>
    <w:rsid w:val="00CD73AC"/>
    <w:rsid w:val="00CE0CAF"/>
    <w:rsid w:val="00CE2932"/>
    <w:rsid w:val="00CE38F1"/>
    <w:rsid w:val="00CF4336"/>
    <w:rsid w:val="00D00EF1"/>
    <w:rsid w:val="00D02227"/>
    <w:rsid w:val="00D03999"/>
    <w:rsid w:val="00D05161"/>
    <w:rsid w:val="00D05BBC"/>
    <w:rsid w:val="00D07ACA"/>
    <w:rsid w:val="00D11111"/>
    <w:rsid w:val="00D118FF"/>
    <w:rsid w:val="00D137DA"/>
    <w:rsid w:val="00D17044"/>
    <w:rsid w:val="00D23D79"/>
    <w:rsid w:val="00D23FC9"/>
    <w:rsid w:val="00D27337"/>
    <w:rsid w:val="00D302C1"/>
    <w:rsid w:val="00D30932"/>
    <w:rsid w:val="00D3260A"/>
    <w:rsid w:val="00D35784"/>
    <w:rsid w:val="00D37129"/>
    <w:rsid w:val="00D377C6"/>
    <w:rsid w:val="00D44C37"/>
    <w:rsid w:val="00D45A3E"/>
    <w:rsid w:val="00D460B4"/>
    <w:rsid w:val="00D460E7"/>
    <w:rsid w:val="00D4662B"/>
    <w:rsid w:val="00D46919"/>
    <w:rsid w:val="00D50F6F"/>
    <w:rsid w:val="00D52DD1"/>
    <w:rsid w:val="00D5542B"/>
    <w:rsid w:val="00D56BBB"/>
    <w:rsid w:val="00D621FF"/>
    <w:rsid w:val="00D63199"/>
    <w:rsid w:val="00D633DC"/>
    <w:rsid w:val="00D64993"/>
    <w:rsid w:val="00D70711"/>
    <w:rsid w:val="00D70BDA"/>
    <w:rsid w:val="00D71987"/>
    <w:rsid w:val="00D74A6A"/>
    <w:rsid w:val="00D75505"/>
    <w:rsid w:val="00D844EF"/>
    <w:rsid w:val="00D84849"/>
    <w:rsid w:val="00D85DCE"/>
    <w:rsid w:val="00D908F6"/>
    <w:rsid w:val="00D922B8"/>
    <w:rsid w:val="00D940D1"/>
    <w:rsid w:val="00D94EE3"/>
    <w:rsid w:val="00D978E5"/>
    <w:rsid w:val="00DA1DAE"/>
    <w:rsid w:val="00DA24EA"/>
    <w:rsid w:val="00DA36E3"/>
    <w:rsid w:val="00DA4D9B"/>
    <w:rsid w:val="00DA767E"/>
    <w:rsid w:val="00DB4D73"/>
    <w:rsid w:val="00DB5286"/>
    <w:rsid w:val="00DB6E48"/>
    <w:rsid w:val="00DC28F5"/>
    <w:rsid w:val="00DC2E1B"/>
    <w:rsid w:val="00DC7BF5"/>
    <w:rsid w:val="00DD053C"/>
    <w:rsid w:val="00DD3049"/>
    <w:rsid w:val="00DD34FC"/>
    <w:rsid w:val="00DD60CF"/>
    <w:rsid w:val="00DE0602"/>
    <w:rsid w:val="00DE47C7"/>
    <w:rsid w:val="00DE4B0C"/>
    <w:rsid w:val="00DE5064"/>
    <w:rsid w:val="00DE6923"/>
    <w:rsid w:val="00DF1C91"/>
    <w:rsid w:val="00DF4626"/>
    <w:rsid w:val="00DF604A"/>
    <w:rsid w:val="00E0128A"/>
    <w:rsid w:val="00E02723"/>
    <w:rsid w:val="00E04DF1"/>
    <w:rsid w:val="00E113C0"/>
    <w:rsid w:val="00E11D34"/>
    <w:rsid w:val="00E178D8"/>
    <w:rsid w:val="00E20034"/>
    <w:rsid w:val="00E2005A"/>
    <w:rsid w:val="00E21D2D"/>
    <w:rsid w:val="00E23A89"/>
    <w:rsid w:val="00E23E78"/>
    <w:rsid w:val="00E2538A"/>
    <w:rsid w:val="00E2707A"/>
    <w:rsid w:val="00E43755"/>
    <w:rsid w:val="00E50A38"/>
    <w:rsid w:val="00E512CA"/>
    <w:rsid w:val="00E5322B"/>
    <w:rsid w:val="00E622E4"/>
    <w:rsid w:val="00E62347"/>
    <w:rsid w:val="00E71EC8"/>
    <w:rsid w:val="00E75AB7"/>
    <w:rsid w:val="00E85C97"/>
    <w:rsid w:val="00E90776"/>
    <w:rsid w:val="00E90AF7"/>
    <w:rsid w:val="00E91A12"/>
    <w:rsid w:val="00E92CA4"/>
    <w:rsid w:val="00E94BBA"/>
    <w:rsid w:val="00E97D2E"/>
    <w:rsid w:val="00EA1AA1"/>
    <w:rsid w:val="00EA1BE0"/>
    <w:rsid w:val="00EA6F70"/>
    <w:rsid w:val="00EA7DB6"/>
    <w:rsid w:val="00EB2244"/>
    <w:rsid w:val="00EB4438"/>
    <w:rsid w:val="00EB6D47"/>
    <w:rsid w:val="00EB7FD1"/>
    <w:rsid w:val="00EC0338"/>
    <w:rsid w:val="00EC25C5"/>
    <w:rsid w:val="00EC2FBF"/>
    <w:rsid w:val="00EC3C25"/>
    <w:rsid w:val="00EC417A"/>
    <w:rsid w:val="00EC452F"/>
    <w:rsid w:val="00ED0972"/>
    <w:rsid w:val="00ED18EA"/>
    <w:rsid w:val="00ED3F91"/>
    <w:rsid w:val="00ED4724"/>
    <w:rsid w:val="00EE39B1"/>
    <w:rsid w:val="00EF50FA"/>
    <w:rsid w:val="00F04236"/>
    <w:rsid w:val="00F058DA"/>
    <w:rsid w:val="00F069E6"/>
    <w:rsid w:val="00F16840"/>
    <w:rsid w:val="00F20D53"/>
    <w:rsid w:val="00F22554"/>
    <w:rsid w:val="00F30EA1"/>
    <w:rsid w:val="00F3203B"/>
    <w:rsid w:val="00F32767"/>
    <w:rsid w:val="00F33A71"/>
    <w:rsid w:val="00F348A6"/>
    <w:rsid w:val="00F34E3B"/>
    <w:rsid w:val="00F358CB"/>
    <w:rsid w:val="00F41DA4"/>
    <w:rsid w:val="00F42A1A"/>
    <w:rsid w:val="00F43E65"/>
    <w:rsid w:val="00F446FC"/>
    <w:rsid w:val="00F470CE"/>
    <w:rsid w:val="00F53731"/>
    <w:rsid w:val="00F549BB"/>
    <w:rsid w:val="00F56007"/>
    <w:rsid w:val="00F61393"/>
    <w:rsid w:val="00F64529"/>
    <w:rsid w:val="00F647AF"/>
    <w:rsid w:val="00F64F09"/>
    <w:rsid w:val="00F71223"/>
    <w:rsid w:val="00F712B2"/>
    <w:rsid w:val="00F731BB"/>
    <w:rsid w:val="00F767FE"/>
    <w:rsid w:val="00F801FD"/>
    <w:rsid w:val="00F8118B"/>
    <w:rsid w:val="00F8588E"/>
    <w:rsid w:val="00F86AB6"/>
    <w:rsid w:val="00F87196"/>
    <w:rsid w:val="00FA0FED"/>
    <w:rsid w:val="00FA3822"/>
    <w:rsid w:val="00FA4718"/>
    <w:rsid w:val="00FA5C24"/>
    <w:rsid w:val="00FB116C"/>
    <w:rsid w:val="00FB1CC3"/>
    <w:rsid w:val="00FB25A7"/>
    <w:rsid w:val="00FB2F3A"/>
    <w:rsid w:val="00FB5B30"/>
    <w:rsid w:val="00FC07A5"/>
    <w:rsid w:val="00FC5EEA"/>
    <w:rsid w:val="00FD04BF"/>
    <w:rsid w:val="00FD055C"/>
    <w:rsid w:val="00FD4CD8"/>
    <w:rsid w:val="00FF1C5B"/>
    <w:rsid w:val="00FF54C4"/>
    <w:rsid w:val="00FF54CC"/>
    <w:rsid w:val="00FF6AE2"/>
    <w:rsid w:val="00FF6F7E"/>
    <w:rsid w:val="27B979D7"/>
    <w:rsid w:val="38B509C1"/>
    <w:rsid w:val="448C4E24"/>
    <w:rsid w:val="51ECFB60"/>
    <w:rsid w:val="5EE9BDB4"/>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25A3D"/>
  <w15:chartTrackingRefBased/>
  <w15:docId w15:val="{EC311031-E7AA-49B5-9EA2-D4D079A2A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B30"/>
    <w:pPr>
      <w:spacing w:after="100"/>
    </w:pPr>
    <w:rPr>
      <w:rFonts w:ascii="Calibri" w:hAnsi="Calibri"/>
      <w:color w:val="000000"/>
      <w:sz w:val="21"/>
    </w:rPr>
  </w:style>
  <w:style w:type="paragraph" w:styleId="Heading1">
    <w:name w:val="heading 1"/>
    <w:basedOn w:val="Normal"/>
    <w:next w:val="Normal"/>
    <w:link w:val="Heading1Char"/>
    <w:uiPriority w:val="9"/>
    <w:qFormat/>
    <w:rsid w:val="00DD053C"/>
    <w:pPr>
      <w:keepNext/>
      <w:keepLines/>
      <w:spacing w:before="240"/>
      <w:outlineLvl w:val="0"/>
    </w:pPr>
    <w:rPr>
      <w:rFonts w:asciiTheme="majorHAnsi" w:eastAsiaTheme="majorEastAsia" w:hAnsiTheme="majorHAnsi" w:cstheme="majorBidi"/>
      <w:color w:val="2F5496"/>
      <w:sz w:val="28"/>
      <w:szCs w:val="32"/>
    </w:rPr>
  </w:style>
  <w:style w:type="paragraph" w:styleId="Heading2">
    <w:name w:val="heading 2"/>
    <w:basedOn w:val="Normal"/>
    <w:next w:val="Normal"/>
    <w:link w:val="Heading2Char"/>
    <w:uiPriority w:val="9"/>
    <w:unhideWhenUsed/>
    <w:qFormat/>
    <w:rsid w:val="00DD053C"/>
    <w:pPr>
      <w:keepNext/>
      <w:keepLines/>
      <w:spacing w:before="160" w:after="60"/>
      <w:outlineLvl w:val="1"/>
    </w:pPr>
    <w:rPr>
      <w:rFonts w:asciiTheme="majorHAnsi" w:eastAsiaTheme="majorEastAsia" w:hAnsiTheme="majorHAnsi" w:cstheme="majorBidi"/>
      <w:color w:val="2F5496"/>
      <w:sz w:val="23"/>
      <w:szCs w:val="26"/>
    </w:rPr>
  </w:style>
  <w:style w:type="paragraph" w:styleId="Heading3">
    <w:name w:val="heading 3"/>
    <w:basedOn w:val="Normal"/>
    <w:next w:val="Normal"/>
    <w:link w:val="Heading3Char"/>
    <w:uiPriority w:val="9"/>
    <w:unhideWhenUsed/>
    <w:qFormat/>
    <w:rsid w:val="005379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44C3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053C"/>
    <w:pPr>
      <w:spacing w:after="140" w:line="240" w:lineRule="auto"/>
      <w:contextualSpacing/>
    </w:pPr>
    <w:rPr>
      <w:rFonts w:asciiTheme="majorHAnsi" w:eastAsiaTheme="majorEastAsia" w:hAnsiTheme="majorHAnsi" w:cstheme="majorBidi"/>
      <w:spacing w:val="-10"/>
      <w:kern w:val="28"/>
      <w:sz w:val="46"/>
      <w:szCs w:val="56"/>
    </w:rPr>
  </w:style>
  <w:style w:type="character" w:customStyle="1" w:styleId="TitleChar">
    <w:name w:val="Title Char"/>
    <w:basedOn w:val="DefaultParagraphFont"/>
    <w:link w:val="Title"/>
    <w:uiPriority w:val="10"/>
    <w:rsid w:val="00DD0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53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053C"/>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DD053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D053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379AD"/>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9074B8"/>
    <w:rPr>
      <w:color w:val="808080"/>
    </w:rPr>
  </w:style>
  <w:style w:type="character" w:customStyle="1" w:styleId="Heading4Char">
    <w:name w:val="Heading 4 Char"/>
    <w:basedOn w:val="DefaultParagraphFont"/>
    <w:link w:val="Heading4"/>
    <w:uiPriority w:val="9"/>
    <w:rsid w:val="00D44C37"/>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265249"/>
    <w:pPr>
      <w:tabs>
        <w:tab w:val="center" w:pos="4252"/>
        <w:tab w:val="right" w:pos="8504"/>
      </w:tabs>
      <w:spacing w:after="0" w:line="240" w:lineRule="auto"/>
    </w:pPr>
  </w:style>
  <w:style w:type="character" w:customStyle="1" w:styleId="HeaderChar">
    <w:name w:val="Header Char"/>
    <w:basedOn w:val="DefaultParagraphFont"/>
    <w:link w:val="Header"/>
    <w:uiPriority w:val="99"/>
    <w:rsid w:val="00265249"/>
  </w:style>
  <w:style w:type="paragraph" w:styleId="Footer">
    <w:name w:val="footer"/>
    <w:basedOn w:val="Normal"/>
    <w:link w:val="FooterChar"/>
    <w:uiPriority w:val="99"/>
    <w:unhideWhenUsed/>
    <w:rsid w:val="00265249"/>
    <w:pPr>
      <w:tabs>
        <w:tab w:val="center" w:pos="4252"/>
        <w:tab w:val="right" w:pos="8504"/>
      </w:tabs>
      <w:spacing w:after="0" w:line="240" w:lineRule="auto"/>
    </w:pPr>
  </w:style>
  <w:style w:type="character" w:customStyle="1" w:styleId="FooterChar">
    <w:name w:val="Footer Char"/>
    <w:basedOn w:val="DefaultParagraphFont"/>
    <w:link w:val="Footer"/>
    <w:uiPriority w:val="99"/>
    <w:rsid w:val="00265249"/>
  </w:style>
  <w:style w:type="character" w:styleId="Hyperlink">
    <w:name w:val="Hyperlink"/>
    <w:basedOn w:val="DefaultParagraphFont"/>
    <w:uiPriority w:val="99"/>
    <w:unhideWhenUsed/>
    <w:rsid w:val="008821F4"/>
    <w:rPr>
      <w:color w:val="0000FF"/>
      <w:u w:val="single"/>
    </w:rPr>
  </w:style>
  <w:style w:type="paragraph" w:styleId="FootnoteText">
    <w:name w:val="footnote text"/>
    <w:basedOn w:val="Normal"/>
    <w:link w:val="FootnoteTextChar"/>
    <w:uiPriority w:val="99"/>
    <w:unhideWhenUsed/>
    <w:rsid w:val="000D2E70"/>
    <w:pPr>
      <w:spacing w:after="0" w:line="240" w:lineRule="auto"/>
    </w:pPr>
    <w:rPr>
      <w:sz w:val="20"/>
      <w:szCs w:val="20"/>
    </w:rPr>
  </w:style>
  <w:style w:type="character" w:customStyle="1" w:styleId="FootnoteTextChar">
    <w:name w:val="Footnote Text Char"/>
    <w:basedOn w:val="DefaultParagraphFont"/>
    <w:link w:val="FootnoteText"/>
    <w:uiPriority w:val="99"/>
    <w:rsid w:val="000D2E70"/>
    <w:rPr>
      <w:sz w:val="20"/>
      <w:szCs w:val="20"/>
    </w:rPr>
  </w:style>
  <w:style w:type="character" w:styleId="FootnoteReference">
    <w:name w:val="footnote reference"/>
    <w:basedOn w:val="DefaultParagraphFont"/>
    <w:uiPriority w:val="99"/>
    <w:semiHidden/>
    <w:unhideWhenUsed/>
    <w:rsid w:val="000D2E70"/>
    <w:rPr>
      <w:vertAlign w:val="superscript"/>
    </w:rPr>
  </w:style>
  <w:style w:type="paragraph" w:styleId="ListParagraph">
    <w:name w:val="List Paragraph"/>
    <w:basedOn w:val="Normal"/>
    <w:uiPriority w:val="34"/>
    <w:qFormat/>
    <w:rsid w:val="00B34B20"/>
    <w:pPr>
      <w:ind w:left="720"/>
      <w:contextualSpacing/>
    </w:pPr>
  </w:style>
  <w:style w:type="paragraph" w:styleId="NormalWeb">
    <w:name w:val="Normal (Web)"/>
    <w:basedOn w:val="Normal"/>
    <w:uiPriority w:val="99"/>
    <w:semiHidden/>
    <w:unhideWhenUsed/>
    <w:rsid w:val="00912430"/>
    <w:pPr>
      <w:spacing w:before="100" w:beforeAutospacing="1" w:afterAutospacing="1" w:line="240" w:lineRule="auto"/>
    </w:pPr>
    <w:rPr>
      <w:rFonts w:ascii="Times New Roman" w:eastAsia="Times New Roman" w:hAnsi="Times New Roman" w:cs="Times New Roman"/>
      <w:kern w:val="0"/>
      <w:sz w:val="24"/>
      <w:szCs w:val="24"/>
      <w:lang w:eastAsia="pt-BR"/>
      <w14:ligatures w14:val="none"/>
    </w:rPr>
  </w:style>
  <w:style w:type="character" w:styleId="Strong">
    <w:name w:val="Strong"/>
    <w:basedOn w:val="DefaultParagraphFont"/>
    <w:uiPriority w:val="22"/>
    <w:qFormat/>
    <w:rsid w:val="00912430"/>
    <w:rPr>
      <w:b/>
      <w:bCs/>
    </w:rPr>
  </w:style>
  <w:style w:type="character" w:styleId="Emphasis">
    <w:name w:val="Emphasis"/>
    <w:basedOn w:val="DefaultParagraphFont"/>
    <w:uiPriority w:val="20"/>
    <w:qFormat/>
    <w:rsid w:val="00912430"/>
    <w:rPr>
      <w:i/>
      <w:iCs/>
    </w:rPr>
  </w:style>
  <w:style w:type="paragraph" w:styleId="Revision">
    <w:name w:val="Revision"/>
    <w:hidden/>
    <w:uiPriority w:val="99"/>
    <w:semiHidden/>
    <w:rsid w:val="00F767FE"/>
    <w:pPr>
      <w:spacing w:after="0" w:line="240" w:lineRule="auto"/>
    </w:pPr>
  </w:style>
  <w:style w:type="character" w:styleId="UnresolvedMention">
    <w:name w:val="Unresolved Mention"/>
    <w:basedOn w:val="DefaultParagraphFont"/>
    <w:uiPriority w:val="99"/>
    <w:semiHidden/>
    <w:unhideWhenUsed/>
    <w:rsid w:val="006A4AB7"/>
    <w:rPr>
      <w:color w:val="605E5C"/>
      <w:shd w:val="clear" w:color="auto" w:fill="E1DFDD"/>
    </w:rPr>
  </w:style>
  <w:style w:type="character" w:styleId="FollowedHyperlink">
    <w:name w:val="FollowedHyperlink"/>
    <w:basedOn w:val="DefaultParagraphFont"/>
    <w:uiPriority w:val="99"/>
    <w:semiHidden/>
    <w:unhideWhenUsed/>
    <w:rsid w:val="006A4A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47335">
      <w:bodyDiv w:val="1"/>
      <w:marLeft w:val="0"/>
      <w:marRight w:val="0"/>
      <w:marTop w:val="0"/>
      <w:marBottom w:val="0"/>
      <w:divBdr>
        <w:top w:val="none" w:sz="0" w:space="0" w:color="auto"/>
        <w:left w:val="none" w:sz="0" w:space="0" w:color="auto"/>
        <w:bottom w:val="none" w:sz="0" w:space="0" w:color="auto"/>
        <w:right w:val="none" w:sz="0" w:space="0" w:color="auto"/>
      </w:divBdr>
    </w:div>
    <w:div w:id="616715904">
      <w:bodyDiv w:val="1"/>
      <w:marLeft w:val="0"/>
      <w:marRight w:val="0"/>
      <w:marTop w:val="0"/>
      <w:marBottom w:val="0"/>
      <w:divBdr>
        <w:top w:val="none" w:sz="0" w:space="0" w:color="auto"/>
        <w:left w:val="none" w:sz="0" w:space="0" w:color="auto"/>
        <w:bottom w:val="none" w:sz="0" w:space="0" w:color="auto"/>
        <w:right w:val="none" w:sz="0" w:space="0" w:color="auto"/>
      </w:divBdr>
    </w:div>
    <w:div w:id="657075455">
      <w:bodyDiv w:val="1"/>
      <w:marLeft w:val="0"/>
      <w:marRight w:val="0"/>
      <w:marTop w:val="0"/>
      <w:marBottom w:val="0"/>
      <w:divBdr>
        <w:top w:val="none" w:sz="0" w:space="0" w:color="auto"/>
        <w:left w:val="none" w:sz="0" w:space="0" w:color="auto"/>
        <w:bottom w:val="none" w:sz="0" w:space="0" w:color="auto"/>
        <w:right w:val="none" w:sz="0" w:space="0" w:color="auto"/>
      </w:divBdr>
    </w:div>
    <w:div w:id="772439100">
      <w:bodyDiv w:val="1"/>
      <w:marLeft w:val="0"/>
      <w:marRight w:val="0"/>
      <w:marTop w:val="0"/>
      <w:marBottom w:val="0"/>
      <w:divBdr>
        <w:top w:val="none" w:sz="0" w:space="0" w:color="auto"/>
        <w:left w:val="none" w:sz="0" w:space="0" w:color="auto"/>
        <w:bottom w:val="none" w:sz="0" w:space="0" w:color="auto"/>
        <w:right w:val="none" w:sz="0" w:space="0" w:color="auto"/>
      </w:divBdr>
    </w:div>
    <w:div w:id="979114276">
      <w:bodyDiv w:val="1"/>
      <w:marLeft w:val="0"/>
      <w:marRight w:val="0"/>
      <w:marTop w:val="0"/>
      <w:marBottom w:val="0"/>
      <w:divBdr>
        <w:top w:val="none" w:sz="0" w:space="0" w:color="auto"/>
        <w:left w:val="none" w:sz="0" w:space="0" w:color="auto"/>
        <w:bottom w:val="none" w:sz="0" w:space="0" w:color="auto"/>
        <w:right w:val="none" w:sz="0" w:space="0" w:color="auto"/>
      </w:divBdr>
    </w:div>
    <w:div w:id="1203715937">
      <w:bodyDiv w:val="1"/>
      <w:marLeft w:val="0"/>
      <w:marRight w:val="0"/>
      <w:marTop w:val="0"/>
      <w:marBottom w:val="0"/>
      <w:divBdr>
        <w:top w:val="none" w:sz="0" w:space="0" w:color="auto"/>
        <w:left w:val="none" w:sz="0" w:space="0" w:color="auto"/>
        <w:bottom w:val="none" w:sz="0" w:space="0" w:color="auto"/>
        <w:right w:val="none" w:sz="0" w:space="0" w:color="auto"/>
      </w:divBdr>
    </w:div>
    <w:div w:id="1218512491">
      <w:bodyDiv w:val="1"/>
      <w:marLeft w:val="0"/>
      <w:marRight w:val="0"/>
      <w:marTop w:val="0"/>
      <w:marBottom w:val="0"/>
      <w:divBdr>
        <w:top w:val="none" w:sz="0" w:space="0" w:color="auto"/>
        <w:left w:val="none" w:sz="0" w:space="0" w:color="auto"/>
        <w:bottom w:val="none" w:sz="0" w:space="0" w:color="auto"/>
        <w:right w:val="none" w:sz="0" w:space="0" w:color="auto"/>
      </w:divBdr>
    </w:div>
    <w:div w:id="1657370179">
      <w:bodyDiv w:val="1"/>
      <w:marLeft w:val="0"/>
      <w:marRight w:val="0"/>
      <w:marTop w:val="0"/>
      <w:marBottom w:val="0"/>
      <w:divBdr>
        <w:top w:val="none" w:sz="0" w:space="0" w:color="auto"/>
        <w:left w:val="none" w:sz="0" w:space="0" w:color="auto"/>
        <w:bottom w:val="none" w:sz="0" w:space="0" w:color="auto"/>
        <w:right w:val="none" w:sz="0" w:space="0" w:color="auto"/>
      </w:divBdr>
    </w:div>
    <w:div w:id="2074961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3CCE00F83678647808AC2407D71CC8A" ma:contentTypeVersion="17" ma:contentTypeDescription="Criar um novo documento." ma:contentTypeScope="" ma:versionID="c63eb15a00fcc3cec5d0038a2d1eb950">
  <xsd:schema xmlns:xsd="http://www.w3.org/2001/XMLSchema" xmlns:xs="http://www.w3.org/2001/XMLSchema" xmlns:p="http://schemas.microsoft.com/office/2006/metadata/properties" xmlns:ns2="e2c6381c-3af3-4213-b177-249b95dca404" xmlns:ns3="6f30a715-8044-45dd-9f5d-fea8e245fbbc" targetNamespace="http://schemas.microsoft.com/office/2006/metadata/properties" ma:root="true" ma:fieldsID="a01d54e1ace7a76cbc0ad77b785efaec" ns2:_="" ns3:_="">
    <xsd:import namespace="e2c6381c-3af3-4213-b177-249b95dca404"/>
    <xsd:import namespace="6f30a715-8044-45dd-9f5d-fea8e245fbb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c6381c-3af3-4213-b177-249b95dca4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m" ma:readOnly="false" ma:fieldId="{5cf76f15-5ced-4ddc-b409-7134ff3c332f}" ma:taxonomyMulti="true" ma:sspId="cf2f7801-0b78-43b4-b8ac-2d21b0e7c3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30a715-8044-45dd-9f5d-fea8e245fbb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ceda74a-8dc9-44ff-8e24-7228def1dee9}" ma:internalName="TaxCatchAll" ma:showField="CatchAllData" ma:web="6f30a715-8044-45dd-9f5d-fea8e245fbbc">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Detalhes de 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2c6381c-3af3-4213-b177-249b95dca404">
      <Terms xmlns="http://schemas.microsoft.com/office/infopath/2007/PartnerControls"/>
    </lcf76f155ced4ddcb4097134ff3c332f>
    <TaxCatchAll xmlns="6f30a715-8044-45dd-9f5d-fea8e245fbbc" xsi:nil="true"/>
  </documentManagement>
</p:properties>
</file>

<file path=customXml/itemProps1.xml><?xml version="1.0" encoding="utf-8"?>
<ds:datastoreItem xmlns:ds="http://schemas.openxmlformats.org/officeDocument/2006/customXml" ds:itemID="{1B1AC198-4E63-4101-859D-F85D862347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c6381c-3af3-4213-b177-249b95dca404"/>
    <ds:schemaRef ds:uri="6f30a715-8044-45dd-9f5d-fea8e245fb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C15760-E836-4E35-8BCD-C22FDEADF5DD}">
  <ds:schemaRefs>
    <ds:schemaRef ds:uri="http://schemas.microsoft.com/sharepoint/v3/contenttype/forms"/>
  </ds:schemaRefs>
</ds:datastoreItem>
</file>

<file path=customXml/itemProps3.xml><?xml version="1.0" encoding="utf-8"?>
<ds:datastoreItem xmlns:ds="http://schemas.openxmlformats.org/officeDocument/2006/customXml" ds:itemID="{8BAC1D4E-6722-4291-879F-36E402B90920}">
  <ds:schemaRefs>
    <ds:schemaRef ds:uri="http://schemas.openxmlformats.org/officeDocument/2006/bibliography"/>
  </ds:schemaRefs>
</ds:datastoreItem>
</file>

<file path=customXml/itemProps4.xml><?xml version="1.0" encoding="utf-8"?>
<ds:datastoreItem xmlns:ds="http://schemas.openxmlformats.org/officeDocument/2006/customXml" ds:itemID="{D6D840B9-2F9B-424D-AC3B-37D84640E5BC}">
  <ds:schemaRefs>
    <ds:schemaRef ds:uri="http://schemas.microsoft.com/office/2006/metadata/properties"/>
    <ds:schemaRef ds:uri="http://schemas.microsoft.com/office/infopath/2007/PartnerControls"/>
    <ds:schemaRef ds:uri="e2c6381c-3af3-4213-b177-249b95dca404"/>
    <ds:schemaRef ds:uri="6f30a715-8044-45dd-9f5d-fea8e245fbbc"/>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7</Pages>
  <Words>3807</Words>
  <Characters>20562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24321</CharactersWithSpaces>
  <SharedDoc>false</SharedDoc>
  <HLinks>
    <vt:vector size="12" baseType="variant">
      <vt:variant>
        <vt:i4>2031741</vt:i4>
      </vt:variant>
      <vt:variant>
        <vt:i4>3</vt:i4>
      </vt:variant>
      <vt:variant>
        <vt:i4>0</vt:i4>
      </vt:variant>
      <vt:variant>
        <vt:i4>5</vt:i4>
      </vt:variant>
      <vt:variant>
        <vt:lpwstr>https://www.anbima.com.br/data/files/B4/B2/98/EF/642085106351AF7569A80AC2/Cartilha_da_Nova_Classificacao_de_Fundos_1_.pdf</vt:lpwstr>
      </vt:variant>
      <vt:variant>
        <vt:lpwstr/>
      </vt:variant>
      <vt:variant>
        <vt:i4>8060977</vt:i4>
      </vt:variant>
      <vt:variant>
        <vt:i4>0</vt:i4>
      </vt:variant>
      <vt:variant>
        <vt:i4>0</vt:i4>
      </vt:variant>
      <vt:variant>
        <vt:i4>5</vt:i4>
      </vt:variant>
      <vt:variant>
        <vt:lpwstr>https://www.investopedia.com/articles/investing/102113/what-are-hedge-funds.asp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Fernando Lopes</dc:creator>
  <cp:keywords/>
  <dc:description/>
  <cp:lastModifiedBy>Luiz Fernando Lopes</cp:lastModifiedBy>
  <cp:revision>14</cp:revision>
  <dcterms:created xsi:type="dcterms:W3CDTF">2026-09-24T13:16:00Z</dcterms:created>
  <dcterms:modified xsi:type="dcterms:W3CDTF">2026-09-30T14:24:00Z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0x01010043CCE00F83678647808AC2407D71CC8A</vt:lpwstr>
  </property>
  <property fmtid="{D5CDD505-2E9C-101B-9397-08002B2CF9AE}" pid="3" name="MediaServiceImageTags">
    <vt:lpwstr/>
  </property>
</Properties>
</file>