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8B" w:rsidRDefault="0064078B" w:rsidP="000410AF">
      <w:pPr>
        <w:ind w:left="720" w:hanging="360"/>
        <w:jc w:val="center"/>
      </w:pPr>
    </w:p>
    <w:p w:rsidR="0064078B" w:rsidRPr="0064078B" w:rsidRDefault="0064078B" w:rsidP="0064078B">
      <w:pPr>
        <w:shd w:val="clear" w:color="auto" w:fill="FFFFFF"/>
        <w:spacing w:after="0" w:line="240" w:lineRule="auto"/>
        <w:rPr>
          <w:rFonts w:ascii="Bernard MT Condensed" w:eastAsia="Times New Roman" w:hAnsi="Bernard MT Condensed" w:cs="Aharoni"/>
          <w:sz w:val="30"/>
          <w:szCs w:val="30"/>
        </w:rPr>
      </w:pPr>
      <w:r w:rsidRPr="0064078B">
        <w:rPr>
          <w:rFonts w:ascii="Bernard MT Condensed" w:eastAsia="Times New Roman" w:hAnsi="Bernard MT Condensed" w:cs="Aharoni"/>
          <w:sz w:val="30"/>
          <w:szCs w:val="30"/>
        </w:rPr>
        <w:t xml:space="preserve">Leonard Feszczuk </w:t>
      </w:r>
      <w:r w:rsidRPr="0064078B">
        <w:rPr>
          <w:rFonts w:ascii="Bernard MT Condensed" w:eastAsia="Times New Roman" w:hAnsi="Bernard MT Condensed" w:cs="Aharoni"/>
          <w:sz w:val="30"/>
          <w:szCs w:val="30"/>
        </w:rPr>
        <w:t>24</w:t>
      </w:r>
      <w:r w:rsidRPr="0064078B">
        <w:rPr>
          <w:rFonts w:ascii="Bernard MT Condensed" w:eastAsia="Times New Roman" w:hAnsi="Bernard MT Condensed" w:cs="Aharoni"/>
          <w:sz w:val="30"/>
          <w:szCs w:val="30"/>
        </w:rPr>
        <w:t>9027</w:t>
      </w:r>
    </w:p>
    <w:p w:rsidR="0064078B" w:rsidRPr="0064078B" w:rsidRDefault="0064078B" w:rsidP="0064078B">
      <w:pPr>
        <w:shd w:val="clear" w:color="auto" w:fill="FFFFFF"/>
        <w:spacing w:after="0" w:line="240" w:lineRule="auto"/>
        <w:rPr>
          <w:rFonts w:ascii="Bernard MT Condensed" w:eastAsia="Times New Roman" w:hAnsi="Bernard MT Condensed" w:cs="Aharoni"/>
          <w:sz w:val="30"/>
          <w:szCs w:val="30"/>
        </w:rPr>
      </w:pPr>
      <w:r w:rsidRPr="0064078B">
        <w:rPr>
          <w:rFonts w:ascii="Bernard MT Condensed" w:eastAsia="Times New Roman" w:hAnsi="Bernard MT Condensed" w:cs="Aharoni"/>
          <w:sz w:val="30"/>
          <w:szCs w:val="30"/>
        </w:rPr>
        <w:t xml:space="preserve">gr. </w:t>
      </w:r>
      <w:r w:rsidRPr="0064078B">
        <w:rPr>
          <w:rFonts w:ascii="Bernard MT Condensed" w:eastAsia="Times New Roman" w:hAnsi="Bernard MT Condensed" w:cs="Aharoni"/>
          <w:sz w:val="30"/>
          <w:szCs w:val="30"/>
        </w:rPr>
        <w:t>Pt</w:t>
      </w:r>
      <w:r w:rsidRPr="0064078B">
        <w:rPr>
          <w:rFonts w:ascii="Bernard MT Condensed" w:eastAsia="Times New Roman" w:hAnsi="Bernard MT Condensed" w:cs="Aharoni"/>
          <w:sz w:val="30"/>
          <w:szCs w:val="30"/>
        </w:rPr>
        <w:t xml:space="preserve"> </w:t>
      </w:r>
      <w:r w:rsidRPr="0064078B">
        <w:rPr>
          <w:rFonts w:ascii="Bernard MT Condensed" w:eastAsia="Times New Roman" w:hAnsi="Bernard MT Condensed" w:cs="Aharoni"/>
          <w:sz w:val="30"/>
          <w:szCs w:val="30"/>
        </w:rPr>
        <w:t>13:15-15:00</w:t>
      </w:r>
    </w:p>
    <w:p w:rsidR="0064078B" w:rsidRPr="0064078B" w:rsidRDefault="0064078B" w:rsidP="0064078B">
      <w:pPr>
        <w:shd w:val="clear" w:color="auto" w:fill="FFFFFF"/>
        <w:spacing w:after="0" w:line="240" w:lineRule="auto"/>
        <w:jc w:val="center"/>
        <w:rPr>
          <w:rFonts w:ascii="Bernard MT Condensed" w:eastAsia="Times New Roman" w:hAnsi="Bernard MT Condensed" w:cs="Aharoni"/>
          <w:sz w:val="62"/>
          <w:szCs w:val="62"/>
        </w:rPr>
      </w:pPr>
      <w:r w:rsidRPr="0064078B">
        <w:rPr>
          <w:rFonts w:ascii="Bernard MT Condensed" w:eastAsia="Times New Roman" w:hAnsi="Bernard MT Condensed" w:cs="Aharoni"/>
          <w:sz w:val="62"/>
          <w:szCs w:val="62"/>
        </w:rPr>
        <w:t>Projektowanie Algorytmów</w:t>
      </w:r>
    </w:p>
    <w:p w:rsidR="0064078B" w:rsidRPr="0064078B" w:rsidRDefault="0064078B" w:rsidP="0064078B">
      <w:pPr>
        <w:shd w:val="clear" w:color="auto" w:fill="FFFFFF"/>
        <w:spacing w:after="0" w:line="240" w:lineRule="auto"/>
        <w:jc w:val="center"/>
        <w:rPr>
          <w:rFonts w:ascii="Bernard MT Condensed" w:eastAsia="Times New Roman" w:hAnsi="Bernard MT Condensed" w:cs="Aharoni"/>
          <w:sz w:val="62"/>
          <w:szCs w:val="62"/>
        </w:rPr>
      </w:pPr>
      <w:r w:rsidRPr="0064078B">
        <w:rPr>
          <w:rFonts w:ascii="Bernard MT Condensed" w:eastAsia="Times New Roman" w:hAnsi="Bernard MT Condensed" w:cs="Aharoni"/>
          <w:sz w:val="62"/>
          <w:szCs w:val="62"/>
        </w:rPr>
        <w:t>i Metody Sztucznej Inteligencji</w:t>
      </w:r>
    </w:p>
    <w:p w:rsidR="0064078B" w:rsidRPr="0064078B" w:rsidRDefault="0064078B" w:rsidP="0064078B">
      <w:pPr>
        <w:shd w:val="clear" w:color="auto" w:fill="FFFFFF"/>
        <w:spacing w:after="0" w:line="240" w:lineRule="auto"/>
        <w:jc w:val="center"/>
        <w:rPr>
          <w:rFonts w:ascii="Bernard MT Condensed" w:eastAsia="Times New Roman" w:hAnsi="Bernard MT Condensed" w:cs="Aharoni"/>
          <w:sz w:val="43"/>
          <w:szCs w:val="43"/>
          <w:lang w:val="en-US"/>
        </w:rPr>
      </w:pPr>
      <w:proofErr w:type="spellStart"/>
      <w:r w:rsidRPr="0064078B">
        <w:rPr>
          <w:rFonts w:ascii="Bernard MT Condensed" w:eastAsia="Times New Roman" w:hAnsi="Bernard MT Condensed" w:cs="Aharoni"/>
          <w:sz w:val="43"/>
          <w:szCs w:val="43"/>
          <w:lang w:val="en-US"/>
        </w:rPr>
        <w:t>Projekt</w:t>
      </w:r>
      <w:proofErr w:type="spellEnd"/>
      <w:r w:rsidRPr="0064078B">
        <w:rPr>
          <w:rFonts w:ascii="Bernard MT Condensed" w:eastAsia="Times New Roman" w:hAnsi="Bernard MT Condensed" w:cs="Aharoni"/>
          <w:sz w:val="43"/>
          <w:szCs w:val="43"/>
          <w:lang w:val="en-US"/>
        </w:rPr>
        <w:t xml:space="preserve"> 1 - </w:t>
      </w:r>
      <w:proofErr w:type="spellStart"/>
      <w:r w:rsidRPr="0064078B">
        <w:rPr>
          <w:rFonts w:ascii="Bernard MT Condensed" w:eastAsia="Times New Roman" w:hAnsi="Bernard MT Condensed" w:cs="Aharoni"/>
          <w:sz w:val="43"/>
          <w:szCs w:val="43"/>
          <w:lang w:val="en-US"/>
        </w:rPr>
        <w:t>Algorytmy</w:t>
      </w:r>
      <w:proofErr w:type="spellEnd"/>
      <w:r w:rsidRPr="0064078B">
        <w:rPr>
          <w:rFonts w:ascii="Bernard MT Condensed" w:eastAsia="Times New Roman" w:hAnsi="Bernard MT Condensed" w:cs="Aharoni"/>
          <w:sz w:val="43"/>
          <w:szCs w:val="43"/>
          <w:lang w:val="en-US"/>
        </w:rPr>
        <w:t xml:space="preserve"> </w:t>
      </w:r>
      <w:proofErr w:type="spellStart"/>
      <w:r w:rsidRPr="0064078B">
        <w:rPr>
          <w:rFonts w:ascii="Bernard MT Condensed" w:eastAsia="Times New Roman" w:hAnsi="Bernard MT Condensed" w:cs="Aharoni"/>
          <w:sz w:val="43"/>
          <w:szCs w:val="43"/>
          <w:lang w:val="en-US"/>
        </w:rPr>
        <w:t>sortowania</w:t>
      </w:r>
      <w:proofErr w:type="spellEnd"/>
    </w:p>
    <w:p w:rsidR="0064078B" w:rsidRPr="0064078B" w:rsidRDefault="0064078B" w:rsidP="0064078B">
      <w:pPr>
        <w:rPr>
          <w:rFonts w:ascii="Bernard MT Condensed" w:hAnsi="Bernard MT Condensed" w:cs="Aharoni"/>
          <w:b/>
          <w:bCs/>
          <w:sz w:val="36"/>
          <w:szCs w:val="36"/>
        </w:rPr>
      </w:pPr>
    </w:p>
    <w:p w:rsidR="000410AF" w:rsidRPr="000410AF" w:rsidRDefault="000410AF" w:rsidP="0064078B">
      <w:pPr>
        <w:pStyle w:val="Akapitzlist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0410AF">
        <w:rPr>
          <w:b/>
          <w:bCs/>
          <w:sz w:val="36"/>
          <w:szCs w:val="36"/>
        </w:rPr>
        <w:t>Wprowadzeni</w:t>
      </w:r>
      <w:r>
        <w:rPr>
          <w:b/>
          <w:bCs/>
          <w:sz w:val="36"/>
          <w:szCs w:val="36"/>
        </w:rPr>
        <w:t>e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0410AF">
        <w:rPr>
          <w:sz w:val="28"/>
          <w:szCs w:val="28"/>
        </w:rPr>
        <w:t>Celem projektu było zaimplementowanie i analiza efektywności trzech wy-branych algorytmów sortowania.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Testy efektywności zostały przeprowadzone dla 100 tablic (typu całkowito-liczbowego) o następujących rozmiarach: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•10 000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•50 000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•100 000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•500 000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•1 000 000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0410AF">
        <w:rPr>
          <w:sz w:val="28"/>
          <w:szCs w:val="28"/>
        </w:rPr>
        <w:t>ykonano eksperymenty z sortowanie dla następujących przypadków: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•wszystkie elementy tablicy losowe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 xml:space="preserve">•25%, 50%, 75%, 95%, 99%, 99,7% </w:t>
      </w:r>
      <w:r>
        <w:rPr>
          <w:sz w:val="28"/>
          <w:szCs w:val="28"/>
        </w:rPr>
        <w:t xml:space="preserve">procent </w:t>
      </w:r>
      <w:r w:rsidRPr="000410AF">
        <w:rPr>
          <w:sz w:val="28"/>
          <w:szCs w:val="28"/>
        </w:rPr>
        <w:t>początkowych elementów tablicy jest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już posortowanych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•tablica posortowana jest malejąco.</w:t>
      </w:r>
    </w:p>
    <w:p w:rsidR="000410AF" w:rsidRPr="000410AF" w:rsidRDefault="000410AF" w:rsidP="000410AF">
      <w:pPr>
        <w:pStyle w:val="Akapitzlist"/>
        <w:jc w:val="center"/>
        <w:rPr>
          <w:b/>
          <w:bCs/>
          <w:sz w:val="36"/>
          <w:szCs w:val="36"/>
        </w:rPr>
      </w:pPr>
      <w:r w:rsidRPr="000410AF">
        <w:rPr>
          <w:b/>
          <w:bCs/>
          <w:sz w:val="36"/>
          <w:szCs w:val="36"/>
        </w:rPr>
        <w:t>2  Badane algorytmy</w:t>
      </w:r>
    </w:p>
    <w:p w:rsidR="000410AF" w:rsidRDefault="000410AF" w:rsidP="000410AF">
      <w:pPr>
        <w:pStyle w:val="Akapitzlist"/>
        <w:jc w:val="both"/>
        <w:rPr>
          <w:sz w:val="32"/>
          <w:szCs w:val="32"/>
        </w:rPr>
      </w:pPr>
      <w:r w:rsidRPr="000410AF">
        <w:rPr>
          <w:sz w:val="32"/>
          <w:szCs w:val="32"/>
        </w:rPr>
        <w:t>2.1  Sortowanie przez scalanie (</w:t>
      </w:r>
      <w:proofErr w:type="spellStart"/>
      <w:r w:rsidRPr="000410AF">
        <w:rPr>
          <w:sz w:val="32"/>
          <w:szCs w:val="32"/>
        </w:rPr>
        <w:t>mergesort</w:t>
      </w:r>
      <w:proofErr w:type="spellEnd"/>
      <w:r w:rsidRPr="000410AF">
        <w:rPr>
          <w:sz w:val="32"/>
          <w:szCs w:val="32"/>
        </w:rPr>
        <w:t>)</w:t>
      </w:r>
    </w:p>
    <w:p w:rsidR="000410AF" w:rsidRPr="000410AF" w:rsidRDefault="000410AF" w:rsidP="000410AF">
      <w:pPr>
        <w:pStyle w:val="Akapitzlist"/>
        <w:jc w:val="both"/>
        <w:rPr>
          <w:sz w:val="32"/>
          <w:szCs w:val="32"/>
        </w:rPr>
      </w:pP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Sortowana tablica dzielona jest rekurencyjnie na dwie podtablice aż do uzyskania tablic jednoelementowych.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Następnie podtablice te są scalane w odpowiedni sposób, dający w rezultacie tablicę posortowaną. Wykorzystana jest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tu metoda podziału problemu na mniejsze, łatwiejsze do rozwiązania zadania(„dziel i rządź”).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Złożoność obliczeniowa: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Średni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r>
        <w:rPr>
          <w:sz w:val="28"/>
          <w:szCs w:val="28"/>
        </w:rPr>
        <w:t>n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0410AF">
        <w:rPr>
          <w:sz w:val="28"/>
          <w:szCs w:val="28"/>
        </w:rPr>
        <w:t>)</w:t>
      </w:r>
    </w:p>
    <w:p w:rsidR="000410AF" w:rsidRP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Najlepszy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r>
        <w:rPr>
          <w:sz w:val="28"/>
          <w:szCs w:val="28"/>
        </w:rPr>
        <w:t>n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0410AF">
        <w:rPr>
          <w:sz w:val="28"/>
          <w:szCs w:val="28"/>
        </w:rPr>
        <w:t>)</w:t>
      </w:r>
    </w:p>
    <w:p w:rsidR="000410AF" w:rsidRDefault="000410AF" w:rsidP="000410AF">
      <w:pPr>
        <w:pStyle w:val="Akapitzlist"/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Najgorszy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r>
        <w:rPr>
          <w:sz w:val="28"/>
          <w:szCs w:val="28"/>
        </w:rPr>
        <w:t>n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0410AF">
        <w:rPr>
          <w:sz w:val="28"/>
          <w:szCs w:val="28"/>
        </w:rPr>
        <w:t>)</w:t>
      </w:r>
    </w:p>
    <w:p w:rsidR="00DD2905" w:rsidRPr="000410AF" w:rsidRDefault="00DD2905" w:rsidP="000410AF">
      <w:pPr>
        <w:pStyle w:val="Akapitzlist"/>
        <w:jc w:val="both"/>
        <w:rPr>
          <w:sz w:val="28"/>
          <w:szCs w:val="28"/>
        </w:rPr>
      </w:pPr>
    </w:p>
    <w:p w:rsidR="000410AF" w:rsidRPr="000410AF" w:rsidRDefault="000410AF" w:rsidP="000410AF">
      <w:pPr>
        <w:ind w:firstLine="720"/>
        <w:rPr>
          <w:sz w:val="32"/>
          <w:szCs w:val="32"/>
        </w:rPr>
      </w:pPr>
      <w:r w:rsidRPr="000410AF">
        <w:rPr>
          <w:sz w:val="32"/>
          <w:szCs w:val="32"/>
        </w:rPr>
        <w:lastRenderedPageBreak/>
        <w:t>2.2  Sortowanie szybkie (</w:t>
      </w:r>
      <w:proofErr w:type="spellStart"/>
      <w:r w:rsidRPr="000410AF">
        <w:rPr>
          <w:sz w:val="32"/>
          <w:szCs w:val="32"/>
        </w:rPr>
        <w:t>quicksort</w:t>
      </w:r>
      <w:proofErr w:type="spellEnd"/>
      <w:r w:rsidRPr="000410AF">
        <w:rPr>
          <w:sz w:val="32"/>
          <w:szCs w:val="32"/>
        </w:rPr>
        <w:t>)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 początku wybierany jest tzw. element osiowy. Następnie tablica dzielona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jest na dwie podtablice. Pierwsza z nich zawiera elementy mniejsze od elementu osiowego, druga elementy większe lub równe, element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osiowy znajdzie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się między nimi. Proces dzielenia powtarzany jest aż do uzyskania tablic jednoelementowych, nie wymagających sortowania. Właściwe sortowanie jest tu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jakby ukryte w procesie przygotowania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do sortowania. Wybór elementu osiowego wpływa na równomierność podziału na podtablice (najprostszy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wariant– wybór pierwszego elementu tablicy – nie sprawdza się w przypadku, gdy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tablica jest już prawie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uporządkowana).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Złożoność obliczeniowa: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Średni przypadek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:O(</w:t>
      </w:r>
      <w:proofErr w:type="spellStart"/>
      <w:r w:rsidRPr="000410AF">
        <w:rPr>
          <w:sz w:val="28"/>
          <w:szCs w:val="28"/>
        </w:rPr>
        <w:t>nlogn</w:t>
      </w:r>
      <w:proofErr w:type="spellEnd"/>
      <w:r w:rsidRPr="000410AF">
        <w:rPr>
          <w:sz w:val="28"/>
          <w:szCs w:val="28"/>
        </w:rPr>
        <w:t>)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Najlepszy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proofErr w:type="spellStart"/>
      <w:r w:rsidRPr="000410AF">
        <w:rPr>
          <w:sz w:val="28"/>
          <w:szCs w:val="28"/>
        </w:rPr>
        <w:t>nlogn</w:t>
      </w:r>
      <w:proofErr w:type="spellEnd"/>
      <w:r w:rsidRPr="000410AF">
        <w:rPr>
          <w:sz w:val="28"/>
          <w:szCs w:val="28"/>
        </w:rPr>
        <w:t>)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Najgorszy przypadek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:O(n2)</w:t>
      </w:r>
    </w:p>
    <w:p w:rsidR="000410AF" w:rsidRPr="000410AF" w:rsidRDefault="000410AF" w:rsidP="000410AF">
      <w:pPr>
        <w:ind w:firstLine="720"/>
        <w:jc w:val="both"/>
        <w:rPr>
          <w:sz w:val="32"/>
          <w:szCs w:val="32"/>
        </w:rPr>
      </w:pPr>
      <w:r w:rsidRPr="000410AF">
        <w:rPr>
          <w:sz w:val="32"/>
          <w:szCs w:val="32"/>
        </w:rPr>
        <w:t xml:space="preserve">2.3  Sortowanie introspektywne 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Jest to metoda hybrydowa, będąca połączeniem sortowania szybkiego i sortowania przez kopcowanie. Sortowanie introspektywne pozwala uniknąć najgorszego przypadku dla sortowania szybkiego (nierównomierny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podział tablicy w przypadku, gdy jako element osiowy zostanie wybrany element najmniejszy lub największy).Złożoność obliczeniowa: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Średni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proofErr w:type="spellStart"/>
      <w:r w:rsidRPr="000410AF">
        <w:rPr>
          <w:sz w:val="28"/>
          <w:szCs w:val="28"/>
        </w:rPr>
        <w:t>nlogn</w:t>
      </w:r>
      <w:proofErr w:type="spellEnd"/>
      <w:r w:rsidRPr="000410AF">
        <w:rPr>
          <w:sz w:val="28"/>
          <w:szCs w:val="28"/>
        </w:rPr>
        <w:t>)</w:t>
      </w:r>
    </w:p>
    <w:p w:rsidR="000410AF" w:rsidRPr="000410AF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Najlepszy przypadek: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O(</w:t>
      </w:r>
      <w:proofErr w:type="spellStart"/>
      <w:r w:rsidRPr="000410AF">
        <w:rPr>
          <w:sz w:val="28"/>
          <w:szCs w:val="28"/>
        </w:rPr>
        <w:t>nlogn</w:t>
      </w:r>
      <w:proofErr w:type="spellEnd"/>
      <w:r w:rsidRPr="000410AF">
        <w:rPr>
          <w:sz w:val="28"/>
          <w:szCs w:val="28"/>
        </w:rPr>
        <w:t>)</w:t>
      </w:r>
    </w:p>
    <w:p w:rsidR="00A91991" w:rsidRDefault="000410AF" w:rsidP="000410AF">
      <w:pPr>
        <w:jc w:val="both"/>
        <w:rPr>
          <w:sz w:val="28"/>
          <w:szCs w:val="28"/>
        </w:rPr>
      </w:pPr>
      <w:r w:rsidRPr="000410AF">
        <w:rPr>
          <w:sz w:val="28"/>
          <w:szCs w:val="28"/>
        </w:rPr>
        <w:t>Najgorszy przypadek</w:t>
      </w:r>
      <w:r>
        <w:rPr>
          <w:sz w:val="28"/>
          <w:szCs w:val="28"/>
        </w:rPr>
        <w:t xml:space="preserve"> </w:t>
      </w:r>
      <w:r w:rsidRPr="000410AF">
        <w:rPr>
          <w:sz w:val="28"/>
          <w:szCs w:val="28"/>
        </w:rPr>
        <w:t>:O(</w:t>
      </w:r>
      <w:proofErr w:type="spellStart"/>
      <w:r w:rsidRPr="000410AF">
        <w:rPr>
          <w:sz w:val="28"/>
          <w:szCs w:val="28"/>
        </w:rPr>
        <w:t>nlogn</w:t>
      </w:r>
      <w:proofErr w:type="spellEnd"/>
      <w:r w:rsidRPr="000410AF">
        <w:rPr>
          <w:sz w:val="28"/>
          <w:szCs w:val="28"/>
        </w:rPr>
        <w:t>)</w:t>
      </w:r>
    </w:p>
    <w:p w:rsidR="000410AF" w:rsidRDefault="000410AF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64078B" w:rsidRDefault="0064078B" w:rsidP="000410AF">
      <w:pPr>
        <w:jc w:val="both"/>
        <w:rPr>
          <w:sz w:val="28"/>
          <w:szCs w:val="28"/>
        </w:rPr>
      </w:pPr>
    </w:p>
    <w:p w:rsidR="009B43C9" w:rsidRDefault="009B43C9" w:rsidP="009B43C9">
      <w:pPr>
        <w:jc w:val="center"/>
        <w:rPr>
          <w:b/>
          <w:bCs/>
          <w:sz w:val="36"/>
          <w:szCs w:val="36"/>
        </w:rPr>
      </w:pPr>
      <w:r w:rsidRPr="009B43C9">
        <w:rPr>
          <w:b/>
          <w:bCs/>
          <w:sz w:val="36"/>
          <w:szCs w:val="36"/>
        </w:rPr>
        <w:lastRenderedPageBreak/>
        <w:t>3 Wynik</w:t>
      </w:r>
      <w:r>
        <w:rPr>
          <w:b/>
          <w:bCs/>
          <w:sz w:val="36"/>
          <w:szCs w:val="36"/>
        </w:rPr>
        <w:t>i</w:t>
      </w:r>
    </w:p>
    <w:p w:rsidR="009B43C9" w:rsidRDefault="009B43C9" w:rsidP="009B43C9">
      <w:pPr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sort</w:t>
      </w:r>
    </w:p>
    <w:p w:rsidR="0064078B" w:rsidRDefault="0064078B" w:rsidP="00640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F5275" wp14:editId="62019F4B">
            <wp:extent cx="7124700" cy="79914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651D1A6-913B-40BD-9A53-E57B325D9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078B" w:rsidRPr="00DD2905" w:rsidRDefault="0064078B" w:rsidP="00DD2905">
      <w:pPr>
        <w:rPr>
          <w:sz w:val="28"/>
          <w:szCs w:val="28"/>
        </w:rPr>
      </w:pPr>
      <w:r w:rsidRPr="00DD2905">
        <w:rPr>
          <w:sz w:val="28"/>
          <w:szCs w:val="28"/>
        </w:rPr>
        <w:lastRenderedPageBreak/>
        <w:t>3.</w:t>
      </w:r>
      <w:r w:rsidRPr="00DD2905">
        <w:rPr>
          <w:sz w:val="28"/>
          <w:szCs w:val="28"/>
        </w:rPr>
        <w:t>2</w:t>
      </w:r>
      <w:r w:rsidRPr="00DD2905">
        <w:rPr>
          <w:sz w:val="28"/>
          <w:szCs w:val="28"/>
        </w:rPr>
        <w:t xml:space="preserve"> </w:t>
      </w:r>
      <w:proofErr w:type="spellStart"/>
      <w:r w:rsidRPr="00DD2905">
        <w:rPr>
          <w:sz w:val="28"/>
          <w:szCs w:val="28"/>
        </w:rPr>
        <w:t>Quick</w:t>
      </w:r>
      <w:proofErr w:type="spellEnd"/>
      <w:r w:rsidRPr="00DD2905">
        <w:rPr>
          <w:sz w:val="28"/>
          <w:szCs w:val="28"/>
        </w:rPr>
        <w:t xml:space="preserve"> sort</w:t>
      </w:r>
    </w:p>
    <w:p w:rsidR="0064078B" w:rsidRDefault="0064078B" w:rsidP="00640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B6C88C" wp14:editId="5064FF72">
            <wp:extent cx="6858000" cy="827722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5A5181A-014F-4D88-983F-A4E718F6DB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078B" w:rsidRDefault="0064078B" w:rsidP="00DD29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 </w:t>
      </w:r>
      <w:proofErr w:type="spellStart"/>
      <w:r>
        <w:rPr>
          <w:sz w:val="28"/>
          <w:szCs w:val="28"/>
        </w:rPr>
        <w:t>Intro</w:t>
      </w:r>
      <w:proofErr w:type="spellEnd"/>
      <w:r>
        <w:rPr>
          <w:sz w:val="28"/>
          <w:szCs w:val="28"/>
        </w:rPr>
        <w:t xml:space="preserve"> sort</w:t>
      </w:r>
    </w:p>
    <w:p w:rsidR="0064078B" w:rsidRDefault="0064078B" w:rsidP="006407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CCA359" wp14:editId="08715F67">
            <wp:extent cx="6858000" cy="833437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757DE3E-954B-4607-A437-6C0841B4D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078B" w:rsidRPr="00DD2905" w:rsidRDefault="00DD2905" w:rsidP="00DD2905">
      <w:pPr>
        <w:jc w:val="center"/>
        <w:rPr>
          <w:b/>
          <w:bCs/>
          <w:sz w:val="28"/>
          <w:szCs w:val="28"/>
        </w:rPr>
      </w:pPr>
      <w:r w:rsidRPr="00DD2905">
        <w:rPr>
          <w:b/>
          <w:bCs/>
          <w:sz w:val="28"/>
          <w:szCs w:val="28"/>
        </w:rPr>
        <w:lastRenderedPageBreak/>
        <w:t>4. Porównanie elementów ze względu na rodzaj sortowania</w:t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B5874" wp14:editId="38B3E34A">
            <wp:extent cx="6534150" cy="3405188"/>
            <wp:effectExtent l="0" t="0" r="0" b="50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A16C5CF-1E69-4107-856B-A3145F210F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C0C1F" wp14:editId="1799CF31">
            <wp:extent cx="6619875" cy="3790950"/>
            <wp:effectExtent l="0" t="0" r="952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C8BD03F-91E3-4D41-A108-261FA55EB6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50C34" wp14:editId="408BEA0E">
            <wp:extent cx="6858000" cy="3933825"/>
            <wp:effectExtent l="0" t="0" r="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A9A98B9-B37D-4C6D-B77E-6EF821BF6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B0F3B" wp14:editId="04B44ED6">
            <wp:extent cx="6905625" cy="37147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CF0BCB6-D4D4-4574-BB9F-38AA5C4C1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42E9D" wp14:editId="68944F66">
            <wp:extent cx="6886575" cy="3162300"/>
            <wp:effectExtent l="0" t="0" r="952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A005F8E2-6370-44D9-B5DF-BAEF3A32C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198433" wp14:editId="62F19AD3">
            <wp:extent cx="6943725" cy="3705225"/>
            <wp:effectExtent l="0" t="0" r="9525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D5660711-8401-41C8-99FF-6110712CF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5694B" wp14:editId="34753318">
            <wp:extent cx="6972300" cy="31623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63594BD7-BB14-4A89-9F0A-E9CB2867A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DECDB9" wp14:editId="2D873209">
            <wp:extent cx="6991350" cy="3895725"/>
            <wp:effectExtent l="0" t="0" r="0" b="952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2DBCCAF3-19F3-4632-A952-D931E94DB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D2905" w:rsidRDefault="00DD2905" w:rsidP="009B43C9">
      <w:pPr>
        <w:rPr>
          <w:sz w:val="28"/>
          <w:szCs w:val="28"/>
        </w:rPr>
      </w:pPr>
    </w:p>
    <w:p w:rsidR="00DD2905" w:rsidRDefault="00DD2905" w:rsidP="009B43C9">
      <w:pPr>
        <w:rPr>
          <w:sz w:val="28"/>
          <w:szCs w:val="28"/>
        </w:rPr>
      </w:pPr>
    </w:p>
    <w:p w:rsidR="00DD2905" w:rsidRDefault="00DD2905" w:rsidP="009B43C9">
      <w:pPr>
        <w:rPr>
          <w:sz w:val="28"/>
          <w:szCs w:val="28"/>
        </w:rPr>
      </w:pPr>
    </w:p>
    <w:p w:rsidR="00DD2905" w:rsidRDefault="00DD2905" w:rsidP="009B43C9">
      <w:pPr>
        <w:rPr>
          <w:sz w:val="28"/>
          <w:szCs w:val="28"/>
        </w:rPr>
      </w:pPr>
    </w:p>
    <w:p w:rsidR="00DD2905" w:rsidRDefault="00DD2905" w:rsidP="009B43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Wnioski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EE9">
        <w:rPr>
          <w:rFonts w:ascii="Times New Roman" w:eastAsia="Times New Roman" w:hAnsi="Times New Roman" w:cs="Times New Roman"/>
          <w:sz w:val="28"/>
          <w:szCs w:val="28"/>
        </w:rPr>
        <w:t xml:space="preserve">Zgodnie z założeniami najszybszym sortowaniem był </w:t>
      </w:r>
      <w:proofErr w:type="spellStart"/>
      <w:r w:rsidRPr="00415EE9">
        <w:rPr>
          <w:rFonts w:ascii="Times New Roman" w:eastAsia="Times New Roman" w:hAnsi="Times New Roman" w:cs="Times New Roman"/>
          <w:sz w:val="28"/>
          <w:szCs w:val="28"/>
        </w:rPr>
        <w:t>intro</w:t>
      </w:r>
      <w:proofErr w:type="spellEnd"/>
      <w:r w:rsidRPr="00415EE9">
        <w:rPr>
          <w:rFonts w:ascii="Times New Roman" w:eastAsia="Times New Roman" w:hAnsi="Times New Roman" w:cs="Times New Roman"/>
          <w:sz w:val="28"/>
          <w:szCs w:val="28"/>
        </w:rPr>
        <w:t xml:space="preserve"> sort a najwolniejszym </w:t>
      </w:r>
      <w:proofErr w:type="spellStart"/>
      <w:r w:rsidRPr="00415EE9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415EE9">
        <w:rPr>
          <w:rFonts w:ascii="Times New Roman" w:eastAsia="Times New Roman" w:hAnsi="Times New Roman" w:cs="Times New Roman"/>
          <w:sz w:val="28"/>
          <w:szCs w:val="28"/>
        </w:rPr>
        <w:t xml:space="preserve"> sort chociaż w niektórych przypadkach był to </w:t>
      </w:r>
      <w:proofErr w:type="spellStart"/>
      <w:r w:rsidRPr="00415EE9">
        <w:rPr>
          <w:rFonts w:ascii="Times New Roman" w:eastAsia="Times New Roman" w:hAnsi="Times New Roman" w:cs="Times New Roman"/>
          <w:sz w:val="28"/>
          <w:szCs w:val="28"/>
        </w:rPr>
        <w:t>quick</w:t>
      </w:r>
      <w:proofErr w:type="spellEnd"/>
      <w:r w:rsidRPr="00415EE9">
        <w:rPr>
          <w:rFonts w:ascii="Times New Roman" w:eastAsia="Times New Roman" w:hAnsi="Times New Roman" w:cs="Times New Roman"/>
          <w:sz w:val="28"/>
          <w:szCs w:val="28"/>
        </w:rPr>
        <w:t xml:space="preserve"> sort, mogło się to wiązać z 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położeniem </w:t>
      </w:r>
      <w:proofErr w:type="spellStart"/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pivota</w:t>
      </w:r>
      <w:proofErr w:type="spellEnd"/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w moim przypadku był on zawsze ustawiany na końcu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Defekt sortowania szybkiego niweluje sortowanie introspektywne jego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 xml:space="preserve"> hybrydowa natura pozwala na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m uniknąć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 xml:space="preserve"> prawdopodobieństwa wybrania złego punktu odniesienia. Można jednak to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prawdopodobieństwo dla sortowania szybkiego znacznie zmniejszyć wybierając losowy punkt odniesienia zamiast pierwszego lub ostatniego elementu</w:t>
      </w:r>
    </w:p>
    <w:p w:rsidR="00DD2905" w:rsidRPr="00415EE9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sortowanej tablicy.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Posortowanie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n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pierwszych elementów tablic skraca zauważalnie czas sortowania dla każdego badanego algorytmu, to samo tyczy się tablic posortowanych malejąco.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Powyższe wyniki potwierdzają teoretyczne założenia i poprawność zaimplementowanych algorytmów.</w:t>
      </w:r>
    </w:p>
    <w:p w:rsidR="00EA26D2" w:rsidRPr="00DD2905" w:rsidRDefault="00EA26D2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26D2" w:rsidRPr="00415EE9" w:rsidRDefault="00EA26D2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EE9">
        <w:rPr>
          <w:rFonts w:ascii="Times New Roman" w:eastAsia="Times New Roman" w:hAnsi="Times New Roman" w:cs="Times New Roman"/>
          <w:sz w:val="28"/>
          <w:szCs w:val="28"/>
        </w:rPr>
        <w:t>Źródła: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] Wikipedia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Merge 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https://en.wikipedia.org/wiki/Merge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[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] Wikipedia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2905">
        <w:rPr>
          <w:rFonts w:ascii="Times New Roman" w:eastAsia="Times New Roman" w:hAnsi="Times New Roman" w:cs="Times New Roman"/>
          <w:sz w:val="28"/>
          <w:szCs w:val="28"/>
        </w:rPr>
        <w:t>Q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ick</w:t>
      </w:r>
      <w:proofErr w:type="spellEnd"/>
      <w:r w:rsidRPr="00DD2905">
        <w:rPr>
          <w:rFonts w:ascii="Times New Roman" w:eastAsia="Times New Roman" w:hAnsi="Times New Roman" w:cs="Times New Roman"/>
          <w:sz w:val="28"/>
          <w:szCs w:val="28"/>
        </w:rPr>
        <w:t xml:space="preserve"> 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https://en.wikipedia.org/wiki/Quicksort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[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D2905">
        <w:rPr>
          <w:rFonts w:ascii="Times New Roman" w:eastAsia="Times New Roman" w:hAnsi="Times New Roman" w:cs="Times New Roman"/>
          <w:sz w:val="28"/>
          <w:szCs w:val="28"/>
        </w:rPr>
        <w:t>] Wikipedia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2905">
        <w:rPr>
          <w:rFonts w:ascii="Times New Roman" w:eastAsia="Times New Roman" w:hAnsi="Times New Roman" w:cs="Times New Roman"/>
          <w:sz w:val="28"/>
          <w:szCs w:val="28"/>
        </w:rPr>
        <w:t>Intro</w:t>
      </w:r>
      <w:proofErr w:type="spellEnd"/>
      <w:r w:rsidRPr="00DD2905">
        <w:rPr>
          <w:rFonts w:ascii="Times New Roman" w:eastAsia="Times New Roman" w:hAnsi="Times New Roman" w:cs="Times New Roman"/>
          <w:sz w:val="28"/>
          <w:szCs w:val="28"/>
        </w:rPr>
        <w:t xml:space="preserve"> 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905">
        <w:rPr>
          <w:rFonts w:ascii="Times New Roman" w:eastAsia="Times New Roman" w:hAnsi="Times New Roman" w:cs="Times New Roman"/>
          <w:sz w:val="28"/>
          <w:szCs w:val="28"/>
        </w:rPr>
        <w:t>https://en.wikipedia.org/wiki/Introsort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EA26D2" w:rsidRPr="00415EE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Geeksforgeeks</w:t>
      </w:r>
      <w:proofErr w:type="spellEnd"/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Merge sort</w:t>
      </w:r>
    </w:p>
    <w:p w:rsidR="00DD2905" w:rsidRPr="00DD2905" w:rsidRDefault="00DD2905" w:rsidP="00DD2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05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https://www.geeksforgeeks.org/merge-sort/</w:t>
      </w:r>
    </w:p>
    <w:p w:rsidR="00EA26D2" w:rsidRPr="00EA26D2" w:rsidRDefault="00EA26D2" w:rsidP="00EA2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415EE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Geeksforgeeks</w:t>
      </w:r>
      <w:proofErr w:type="spellEnd"/>
    </w:p>
    <w:p w:rsidR="00EA26D2" w:rsidRPr="00EA26D2" w:rsidRDefault="00EA26D2" w:rsidP="00EA2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Intro sort</w:t>
      </w:r>
    </w:p>
    <w:p w:rsidR="00EA26D2" w:rsidRPr="00EA26D2" w:rsidRDefault="00EA26D2" w:rsidP="00EA2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https://wwww.geeksforgeeks.org/know-your-sorting-algorithm-set-2-</w:t>
      </w:r>
    </w:p>
    <w:p w:rsidR="00EA26D2" w:rsidRPr="00EA26D2" w:rsidRDefault="00EA26D2" w:rsidP="00EA2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introsort</w:t>
      </w:r>
      <w:proofErr w:type="spellEnd"/>
      <w:r w:rsidRPr="00EA26D2">
        <w:rPr>
          <w:rFonts w:ascii="Times New Roman" w:eastAsia="Times New Roman" w:hAnsi="Times New Roman" w:cs="Times New Roman"/>
          <w:sz w:val="28"/>
          <w:szCs w:val="28"/>
          <w:lang w:val="en-US"/>
        </w:rPr>
        <w:t>-cs-sorting-weapon</w:t>
      </w:r>
    </w:p>
    <w:p w:rsidR="00DD2905" w:rsidRPr="00EA26D2" w:rsidRDefault="00DD2905" w:rsidP="009B43C9">
      <w:pPr>
        <w:rPr>
          <w:sz w:val="28"/>
          <w:szCs w:val="28"/>
          <w:lang w:val="en-US"/>
        </w:rPr>
      </w:pPr>
      <w:bookmarkStart w:id="0" w:name="_GoBack"/>
      <w:bookmarkEnd w:id="0"/>
    </w:p>
    <w:sectPr w:rsidR="00DD2905" w:rsidRPr="00EA26D2" w:rsidSect="000410AF"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4C" w:rsidRDefault="0094394C" w:rsidP="0064078B">
      <w:pPr>
        <w:spacing w:after="0" w:line="240" w:lineRule="auto"/>
      </w:pPr>
      <w:r>
        <w:separator/>
      </w:r>
    </w:p>
  </w:endnote>
  <w:endnote w:type="continuationSeparator" w:id="0">
    <w:p w:rsidR="0094394C" w:rsidRDefault="0094394C" w:rsidP="0064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99832"/>
      <w:docPartObj>
        <w:docPartGallery w:val="Page Numbers (Bottom of Page)"/>
        <w:docPartUnique/>
      </w:docPartObj>
    </w:sdtPr>
    <w:sdtContent>
      <w:p w:rsidR="0064078B" w:rsidRDefault="0064078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078B" w:rsidRDefault="0064078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4C" w:rsidRDefault="0094394C" w:rsidP="0064078B">
      <w:pPr>
        <w:spacing w:after="0" w:line="240" w:lineRule="auto"/>
      </w:pPr>
      <w:r>
        <w:separator/>
      </w:r>
    </w:p>
  </w:footnote>
  <w:footnote w:type="continuationSeparator" w:id="0">
    <w:p w:rsidR="0094394C" w:rsidRDefault="0094394C" w:rsidP="00640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1B6E"/>
    <w:multiLevelType w:val="hybridMultilevel"/>
    <w:tmpl w:val="D8141174"/>
    <w:lvl w:ilvl="0" w:tplc="F7C4E1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739BD"/>
    <w:multiLevelType w:val="hybridMultilevel"/>
    <w:tmpl w:val="4FDE54DA"/>
    <w:lvl w:ilvl="0" w:tplc="75C0B4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AF"/>
    <w:rsid w:val="000410AF"/>
    <w:rsid w:val="00415EE9"/>
    <w:rsid w:val="0064078B"/>
    <w:rsid w:val="0094394C"/>
    <w:rsid w:val="009B43C9"/>
    <w:rsid w:val="00A91991"/>
    <w:rsid w:val="00DD2905"/>
    <w:rsid w:val="00EA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4997"/>
  <w15:chartTrackingRefBased/>
  <w15:docId w15:val="{9AB99E4C-84FD-45B9-B4C4-133F31A9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10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410AF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6407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078B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6407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078B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8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\Desktop\Zeszyt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 sort</a:t>
            </a:r>
          </a:p>
          <a:p>
            <a:pPr>
              <a:defRPr/>
            </a:pPr>
            <a:r>
              <a:rPr lang="pl-PL"/>
              <a:t>porównanie dla różnych wielkości tablic</a:t>
            </a:r>
            <a:endParaRPr lang="en-US"/>
          </a:p>
        </c:rich>
      </c:tx>
      <c:layout>
        <c:manualLayout>
          <c:xMode val="edge"/>
          <c:yMode val="edge"/>
          <c:x val="0.28617611969626794"/>
          <c:y val="1.34733745530130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765084845677711"/>
          <c:y val="0.11237700153252655"/>
          <c:w val="0.73382865243448847"/>
          <c:h val="0.53842220225827475"/>
        </c:manualLayout>
      </c:layout>
      <c:barChart>
        <c:barDir val="col"/>
        <c:grouping val="clustered"/>
        <c:varyColors val="0"/>
        <c:ser>
          <c:idx val="0"/>
          <c:order val="0"/>
          <c:tx>
            <c:v>0%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Arkusz3!$A$1:$A$5</c:f>
              <c:numCache>
                <c:formatCode>0.000</c:formatCode>
                <c:ptCount val="5"/>
                <c:pt idx="0">
                  <c:v>2.60501</c:v>
                </c:pt>
                <c:pt idx="1">
                  <c:v>15.9778</c:v>
                </c:pt>
                <c:pt idx="2">
                  <c:v>35.322099999999999</c:v>
                </c:pt>
                <c:pt idx="3">
                  <c:v>185.06100000000001</c:v>
                </c:pt>
                <c:pt idx="4">
                  <c:v>384.50700000000001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D-4A4C-826E-F00DDC3B83D9}"/>
            </c:ext>
          </c:extLst>
        </c:ser>
        <c:ser>
          <c:idx val="1"/>
          <c:order val="1"/>
          <c:tx>
            <c:v>25%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Arkusz3!$B$1:$B$5</c:f>
              <c:numCache>
                <c:formatCode>0.000</c:formatCode>
                <c:ptCount val="5"/>
                <c:pt idx="0">
                  <c:v>3.2282999999999999</c:v>
                </c:pt>
                <c:pt idx="1">
                  <c:v>15.9847</c:v>
                </c:pt>
                <c:pt idx="2">
                  <c:v>36.025799999999997</c:v>
                </c:pt>
                <c:pt idx="3">
                  <c:v>196.04499999999999</c:v>
                </c:pt>
                <c:pt idx="4">
                  <c:v>365.81400000000002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1D-4A4C-826E-F00DDC3B83D9}"/>
            </c:ext>
          </c:extLst>
        </c:ser>
        <c:ser>
          <c:idx val="2"/>
          <c:order val="2"/>
          <c:tx>
            <c:v>50%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Arkusz3!$C$1:$C$5</c:f>
              <c:numCache>
                <c:formatCode>0.000</c:formatCode>
                <c:ptCount val="5"/>
                <c:pt idx="0">
                  <c:v>1.99027</c:v>
                </c:pt>
                <c:pt idx="1">
                  <c:v>12.7142</c:v>
                </c:pt>
                <c:pt idx="2">
                  <c:v>28.289000000000001</c:v>
                </c:pt>
                <c:pt idx="3">
                  <c:v>147.56100000000001</c:v>
                </c:pt>
                <c:pt idx="4">
                  <c:v>317.98899999999998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1D-4A4C-826E-F00DDC3B83D9}"/>
            </c:ext>
          </c:extLst>
        </c:ser>
        <c:ser>
          <c:idx val="3"/>
          <c:order val="3"/>
          <c:tx>
            <c:v>75%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Arkusz3!$D$1:$D$5</c:f>
              <c:numCache>
                <c:formatCode>0.000</c:formatCode>
                <c:ptCount val="5"/>
                <c:pt idx="0">
                  <c:v>1.4934499999999999</c:v>
                </c:pt>
                <c:pt idx="1">
                  <c:v>10.3918</c:v>
                </c:pt>
                <c:pt idx="2">
                  <c:v>22.239899999999999</c:v>
                </c:pt>
                <c:pt idx="3">
                  <c:v>107.935</c:v>
                </c:pt>
                <c:pt idx="4">
                  <c:v>212.28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1D-4A4C-826E-F00DDC3B83D9}"/>
            </c:ext>
          </c:extLst>
        </c:ser>
        <c:ser>
          <c:idx val="4"/>
          <c:order val="4"/>
          <c:tx>
            <c:v>95%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Arkusz3!$E$1:$E$5</c:f>
              <c:numCache>
                <c:formatCode>0.000</c:formatCode>
                <c:ptCount val="5"/>
                <c:pt idx="0">
                  <c:v>1.4424600000000001</c:v>
                </c:pt>
                <c:pt idx="1">
                  <c:v>7.29183</c:v>
                </c:pt>
                <c:pt idx="2">
                  <c:v>14.8691</c:v>
                </c:pt>
                <c:pt idx="3">
                  <c:v>88.346599999999995</c:v>
                </c:pt>
                <c:pt idx="4">
                  <c:v>185.53800000000001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1D-4A4C-826E-F00DDC3B83D9}"/>
            </c:ext>
          </c:extLst>
        </c:ser>
        <c:ser>
          <c:idx val="5"/>
          <c:order val="5"/>
          <c:tx>
            <c:v>99%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Arkusz3!$F$1:$F$5</c:f>
              <c:numCache>
                <c:formatCode>0.000</c:formatCode>
                <c:ptCount val="5"/>
                <c:pt idx="0">
                  <c:v>1.51447</c:v>
                </c:pt>
                <c:pt idx="1">
                  <c:v>8.0347299999999997</c:v>
                </c:pt>
                <c:pt idx="2">
                  <c:v>14.852</c:v>
                </c:pt>
                <c:pt idx="3">
                  <c:v>97.644000000000005</c:v>
                </c:pt>
                <c:pt idx="4">
                  <c:v>197.922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1D-4A4C-826E-F00DDC3B83D9}"/>
            </c:ext>
          </c:extLst>
        </c:ser>
        <c:ser>
          <c:idx val="6"/>
          <c:order val="6"/>
          <c:tx>
            <c:v>99,7%</c:v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Arkusz3!$G$1:$G$5</c:f>
              <c:numCache>
                <c:formatCode>0.000</c:formatCode>
                <c:ptCount val="5"/>
                <c:pt idx="0">
                  <c:v>1.15306</c:v>
                </c:pt>
                <c:pt idx="1">
                  <c:v>7.3771899999999997</c:v>
                </c:pt>
                <c:pt idx="2">
                  <c:v>14.9711</c:v>
                </c:pt>
                <c:pt idx="3">
                  <c:v>87.613</c:v>
                </c:pt>
                <c:pt idx="4">
                  <c:v>196.673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1D-4A4C-826E-F00DDC3B83D9}"/>
            </c:ext>
          </c:extLst>
        </c:ser>
        <c:ser>
          <c:idx val="7"/>
          <c:order val="7"/>
          <c:tx>
            <c:v>odwrotnie posortowane</c:v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Arkusz3!$H$1:$H$5</c:f>
              <c:numCache>
                <c:formatCode>0.000</c:formatCode>
                <c:ptCount val="5"/>
                <c:pt idx="0">
                  <c:v>1.41327</c:v>
                </c:pt>
                <c:pt idx="1">
                  <c:v>8.5235099999999999</c:v>
                </c:pt>
                <c:pt idx="2">
                  <c:v>17.9222</c:v>
                </c:pt>
                <c:pt idx="3">
                  <c:v>111.602</c:v>
                </c:pt>
                <c:pt idx="4">
                  <c:v>239.589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51D-4A4C-826E-F00DDC3B8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057920"/>
        <c:axId val="815687152"/>
      </c:barChart>
      <c:catAx>
        <c:axId val="2058057920"/>
        <c:scaling>
          <c:orientation val="minMax"/>
        </c:scaling>
        <c:delete val="1"/>
        <c:axPos val="b"/>
        <c:numFmt formatCode="0" sourceLinked="1"/>
        <c:majorTickMark val="none"/>
        <c:minorTickMark val="none"/>
        <c:tickLblPos val="nextTo"/>
        <c:crossAx val="815687152"/>
        <c:crosses val="autoZero"/>
        <c:auto val="1"/>
        <c:lblAlgn val="ctr"/>
        <c:lblOffset val="100"/>
        <c:tickMarkSkip val="1"/>
        <c:noMultiLvlLbl val="0"/>
      </c:catAx>
      <c:valAx>
        <c:axId val="8156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97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057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99,7%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Arkusz14!$A$1:$A$5</c:f>
              <c:numCache>
                <c:formatCode>0.000</c:formatCode>
                <c:ptCount val="5"/>
                <c:pt idx="0">
                  <c:v>1.15306</c:v>
                </c:pt>
                <c:pt idx="1">
                  <c:v>7.3771899999999997</c:v>
                </c:pt>
                <c:pt idx="2">
                  <c:v>14.9711</c:v>
                </c:pt>
                <c:pt idx="3">
                  <c:v>87.613</c:v>
                </c:pt>
                <c:pt idx="4">
                  <c:v>196.673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05-4D17-9DCA-B182595C8BCA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Arkusz14!$B$1:$B$5</c:f>
              <c:numCache>
                <c:formatCode>General</c:formatCode>
                <c:ptCount val="5"/>
                <c:pt idx="0">
                  <c:v>1.40246</c:v>
                </c:pt>
                <c:pt idx="1">
                  <c:v>7.6059999999999999</c:v>
                </c:pt>
                <c:pt idx="2">
                  <c:v>15.394</c:v>
                </c:pt>
                <c:pt idx="3">
                  <c:v>84.526499999999999</c:v>
                </c:pt>
                <c:pt idx="4">
                  <c:v>177.11699999999999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05-4D17-9DCA-B182595C8BCA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Arkusz14!$C$1:$C$5</c:f>
              <c:numCache>
                <c:formatCode>General</c:formatCode>
                <c:ptCount val="5"/>
                <c:pt idx="0">
                  <c:v>0.94387500000000002</c:v>
                </c:pt>
                <c:pt idx="1">
                  <c:v>5.1373800000000003</c:v>
                </c:pt>
                <c:pt idx="2">
                  <c:v>10.021000000000001</c:v>
                </c:pt>
                <c:pt idx="3">
                  <c:v>57.2654</c:v>
                </c:pt>
                <c:pt idx="4">
                  <c:v>122.429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05-4D17-9DCA-B182595C8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78016"/>
        <c:axId val="440507888"/>
      </c:barChart>
      <c:catAx>
        <c:axId val="131378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888"/>
        <c:crosses val="autoZero"/>
        <c:auto val="1"/>
        <c:lblAlgn val="ctr"/>
        <c:lblOffset val="100"/>
        <c:noMultiLvlLbl val="0"/>
      </c:catAx>
      <c:valAx>
        <c:axId val="44050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780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odwrotnie posortowanego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Arkusz15!$A$1:$A$5</c:f>
              <c:numCache>
                <c:formatCode>0.000</c:formatCode>
                <c:ptCount val="5"/>
                <c:pt idx="0">
                  <c:v>1.41327</c:v>
                </c:pt>
                <c:pt idx="1">
                  <c:v>8.5235099999999999</c:v>
                </c:pt>
                <c:pt idx="2">
                  <c:v>17.9222</c:v>
                </c:pt>
                <c:pt idx="3">
                  <c:v>111.602</c:v>
                </c:pt>
                <c:pt idx="4">
                  <c:v>239.589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E6-45D7-8B2B-E415297A271B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Arkusz15!$B$1:$B$5</c:f>
              <c:numCache>
                <c:formatCode>0.000</c:formatCode>
                <c:ptCount val="5"/>
                <c:pt idx="0">
                  <c:v>1.00959</c:v>
                </c:pt>
                <c:pt idx="1">
                  <c:v>6.3622899999999998</c:v>
                </c:pt>
                <c:pt idx="2">
                  <c:v>13.0572</c:v>
                </c:pt>
                <c:pt idx="3">
                  <c:v>74.551000000000002</c:v>
                </c:pt>
                <c:pt idx="4">
                  <c:v>156.946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E6-45D7-8B2B-E415297A271B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Arkusz15!$C$1:$C$5</c:f>
              <c:numCache>
                <c:formatCode>0.000</c:formatCode>
                <c:ptCount val="5"/>
                <c:pt idx="0">
                  <c:v>0.63142299999999996</c:v>
                </c:pt>
                <c:pt idx="1">
                  <c:v>3.4926400000000002</c:v>
                </c:pt>
                <c:pt idx="2">
                  <c:v>7.9845899999999999</c:v>
                </c:pt>
                <c:pt idx="3">
                  <c:v>49.661700000000003</c:v>
                </c:pt>
                <c:pt idx="4">
                  <c:v>102.678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E6-45D7-8B2B-E415297A2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467008"/>
        <c:axId val="239716912"/>
      </c:barChart>
      <c:catAx>
        <c:axId val="439467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716912"/>
        <c:crosses val="autoZero"/>
        <c:auto val="1"/>
        <c:lblAlgn val="ctr"/>
        <c:lblOffset val="100"/>
        <c:noMultiLvlLbl val="0"/>
      </c:catAx>
      <c:valAx>
        <c:axId val="23971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670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</a:t>
            </a:r>
            <a:r>
              <a:rPr lang="pl-PL" baseline="0"/>
              <a:t> sort</a:t>
            </a:r>
          </a:p>
          <a:p>
            <a:pPr>
              <a:defRPr/>
            </a:pPr>
            <a:r>
              <a:rPr lang="pl-PL" baseline="0"/>
              <a:t>porównanie dla róznych wielkosci tablic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0%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Arkusz4!$A$1:$A$5</c:f>
              <c:numCache>
                <c:formatCode>General</c:formatCode>
                <c:ptCount val="5"/>
                <c:pt idx="0">
                  <c:v>2.6700900000000001</c:v>
                </c:pt>
                <c:pt idx="1">
                  <c:v>16.293099999999999</c:v>
                </c:pt>
                <c:pt idx="2">
                  <c:v>29.695399999999999</c:v>
                </c:pt>
                <c:pt idx="3">
                  <c:v>159.619</c:v>
                </c:pt>
                <c:pt idx="4">
                  <c:v>344.96899999999999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7-40BD-A326-7FFD20D1F303}"/>
            </c:ext>
          </c:extLst>
        </c:ser>
        <c:ser>
          <c:idx val="1"/>
          <c:order val="1"/>
          <c:tx>
            <c:v>25%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Arkusz4!$B$1:$B$5</c:f>
              <c:numCache>
                <c:formatCode>General</c:formatCode>
                <c:ptCount val="5"/>
                <c:pt idx="0">
                  <c:v>2.9812599999999998</c:v>
                </c:pt>
                <c:pt idx="1">
                  <c:v>16.104099999999999</c:v>
                </c:pt>
                <c:pt idx="2">
                  <c:v>29.824200000000001</c:v>
                </c:pt>
                <c:pt idx="3">
                  <c:v>150.32900000000001</c:v>
                </c:pt>
                <c:pt idx="4">
                  <c:v>305.33600000000001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7-40BD-A326-7FFD20D1F303}"/>
            </c:ext>
          </c:extLst>
        </c:ser>
        <c:ser>
          <c:idx val="2"/>
          <c:order val="2"/>
          <c:tx>
            <c:v>50%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Arkusz4!$C$1:$C$5</c:f>
              <c:numCache>
                <c:formatCode>General</c:formatCode>
                <c:ptCount val="5"/>
                <c:pt idx="0">
                  <c:v>4.2229900000000002</c:v>
                </c:pt>
                <c:pt idx="1">
                  <c:v>23.671099999999999</c:v>
                </c:pt>
                <c:pt idx="2">
                  <c:v>49.268500000000003</c:v>
                </c:pt>
                <c:pt idx="3">
                  <c:v>351.06900000000002</c:v>
                </c:pt>
                <c:pt idx="4">
                  <c:v>890.90200000000004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7-40BD-A326-7FFD20D1F303}"/>
            </c:ext>
          </c:extLst>
        </c:ser>
        <c:ser>
          <c:idx val="3"/>
          <c:order val="3"/>
          <c:tx>
            <c:v>75%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Arkusz4!$D$1:$D$5</c:f>
              <c:numCache>
                <c:formatCode>General</c:formatCode>
                <c:ptCount val="5"/>
                <c:pt idx="0">
                  <c:v>1.9892099999999999</c:v>
                </c:pt>
                <c:pt idx="1">
                  <c:v>10.8964</c:v>
                </c:pt>
                <c:pt idx="2">
                  <c:v>22.534500000000001</c:v>
                </c:pt>
                <c:pt idx="3">
                  <c:v>118.619</c:v>
                </c:pt>
                <c:pt idx="4">
                  <c:v>243.88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47-40BD-A326-7FFD20D1F303}"/>
            </c:ext>
          </c:extLst>
        </c:ser>
        <c:ser>
          <c:idx val="4"/>
          <c:order val="4"/>
          <c:tx>
            <c:v>99%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Arkusz4!$F$1:$F$5</c:f>
              <c:numCache>
                <c:formatCode>General</c:formatCode>
                <c:ptCount val="5"/>
                <c:pt idx="0">
                  <c:v>1.4189000000000001</c:v>
                </c:pt>
                <c:pt idx="1">
                  <c:v>7.8727900000000002</c:v>
                </c:pt>
                <c:pt idx="2">
                  <c:v>16.284700000000001</c:v>
                </c:pt>
                <c:pt idx="3">
                  <c:v>89.620699999999999</c:v>
                </c:pt>
                <c:pt idx="4">
                  <c:v>186.226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47-40BD-A326-7FFD20D1F303}"/>
            </c:ext>
          </c:extLst>
        </c:ser>
        <c:ser>
          <c:idx val="5"/>
          <c:order val="5"/>
          <c:tx>
            <c:v>99,7%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Arkusz4!$G$1:$G$5</c:f>
              <c:numCache>
                <c:formatCode>General</c:formatCode>
                <c:ptCount val="5"/>
                <c:pt idx="0">
                  <c:v>1.40246</c:v>
                </c:pt>
                <c:pt idx="1">
                  <c:v>7.6059999999999999</c:v>
                </c:pt>
                <c:pt idx="2">
                  <c:v>15.394</c:v>
                </c:pt>
                <c:pt idx="3">
                  <c:v>84.526499999999999</c:v>
                </c:pt>
                <c:pt idx="4">
                  <c:v>177.11699999999999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947-40BD-A326-7FFD20D1F303}"/>
            </c:ext>
          </c:extLst>
        </c:ser>
        <c:ser>
          <c:idx val="6"/>
          <c:order val="6"/>
          <c:tx>
            <c:v>odwrotnie posortowane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Arkusz4!$H$1:$H$5</c:f>
              <c:numCache>
                <c:formatCode>General</c:formatCode>
                <c:ptCount val="5"/>
                <c:pt idx="0">
                  <c:v>1.00959</c:v>
                </c:pt>
                <c:pt idx="1">
                  <c:v>6.3622899999999998</c:v>
                </c:pt>
                <c:pt idx="2">
                  <c:v>13.0572</c:v>
                </c:pt>
                <c:pt idx="3">
                  <c:v>74.551000000000002</c:v>
                </c:pt>
                <c:pt idx="4">
                  <c:v>156.946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947-40BD-A326-7FFD20D1F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628688"/>
        <c:axId val="425718992"/>
      </c:barChart>
      <c:catAx>
        <c:axId val="823628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718992"/>
        <c:crosses val="autoZero"/>
        <c:auto val="1"/>
        <c:lblAlgn val="ctr"/>
        <c:lblOffset val="100"/>
        <c:noMultiLvlLbl val="0"/>
      </c:catAx>
      <c:valAx>
        <c:axId val="42571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2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6286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34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Intro sort</a:t>
            </a:r>
          </a:p>
          <a:p>
            <a:pPr>
              <a:defRPr/>
            </a:pPr>
            <a:r>
              <a:rPr lang="pl-PL"/>
              <a:t>Porównanie różnych wielkości tablic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0%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Arkusz5!$A$1:$A$5</c:f>
              <c:numCache>
                <c:formatCode>General</c:formatCode>
                <c:ptCount val="5"/>
                <c:pt idx="0">
                  <c:v>2.11355</c:v>
                </c:pt>
                <c:pt idx="1">
                  <c:v>12.106299999999999</c:v>
                </c:pt>
                <c:pt idx="2">
                  <c:v>24.220099999999999</c:v>
                </c:pt>
                <c:pt idx="3">
                  <c:v>128.09</c:v>
                </c:pt>
                <c:pt idx="4">
                  <c:v>262.03199999999998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EA-4F78-A30C-83B59E5692B4}"/>
            </c:ext>
          </c:extLst>
        </c:ser>
        <c:ser>
          <c:idx val="1"/>
          <c:order val="1"/>
          <c:tx>
            <c:v>25%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Arkusz5!$B$1:$B$5</c:f>
              <c:numCache>
                <c:formatCode>General</c:formatCode>
                <c:ptCount val="5"/>
                <c:pt idx="0">
                  <c:v>2.08927</c:v>
                </c:pt>
                <c:pt idx="1">
                  <c:v>11.8531</c:v>
                </c:pt>
                <c:pt idx="2">
                  <c:v>23.693100000000001</c:v>
                </c:pt>
                <c:pt idx="3">
                  <c:v>121.73</c:v>
                </c:pt>
                <c:pt idx="4">
                  <c:v>286.00099999999998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EA-4F78-A30C-83B59E5692B4}"/>
            </c:ext>
          </c:extLst>
        </c:ser>
        <c:ser>
          <c:idx val="2"/>
          <c:order val="2"/>
          <c:tx>
            <c:v>50%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Arkusz5!$C$1:$C$5</c:f>
              <c:numCache>
                <c:formatCode>General</c:formatCode>
                <c:ptCount val="5"/>
                <c:pt idx="0">
                  <c:v>3.2125499999999998</c:v>
                </c:pt>
                <c:pt idx="1">
                  <c:v>18.553899999999999</c:v>
                </c:pt>
                <c:pt idx="2">
                  <c:v>36.731000000000002</c:v>
                </c:pt>
                <c:pt idx="3">
                  <c:v>217.65299999999999</c:v>
                </c:pt>
                <c:pt idx="4">
                  <c:v>545.33000000000004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EA-4F78-A30C-83B59E5692B4}"/>
            </c:ext>
          </c:extLst>
        </c:ser>
        <c:ser>
          <c:idx val="3"/>
          <c:order val="3"/>
          <c:tx>
            <c:v>75%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Arkusz5!$D$1:$D$5</c:f>
              <c:numCache>
                <c:formatCode>General</c:formatCode>
                <c:ptCount val="5"/>
                <c:pt idx="0">
                  <c:v>1.7498199999999999</c:v>
                </c:pt>
                <c:pt idx="1">
                  <c:v>9.2950400000000002</c:v>
                </c:pt>
                <c:pt idx="2">
                  <c:v>17.454499999999999</c:v>
                </c:pt>
                <c:pt idx="3">
                  <c:v>95.646299999999997</c:v>
                </c:pt>
                <c:pt idx="4">
                  <c:v>185.92099999999999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EA-4F78-A30C-83B59E5692B4}"/>
            </c:ext>
          </c:extLst>
        </c:ser>
        <c:ser>
          <c:idx val="4"/>
          <c:order val="4"/>
          <c:tx>
            <c:v>95%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Arkusz5!$E$1:$E$5</c:f>
              <c:numCache>
                <c:formatCode>General</c:formatCode>
                <c:ptCount val="5"/>
                <c:pt idx="0">
                  <c:v>1.4119200000000001</c:v>
                </c:pt>
                <c:pt idx="1">
                  <c:v>7.8542199999999998</c:v>
                </c:pt>
                <c:pt idx="2">
                  <c:v>14.988899999999999</c:v>
                </c:pt>
                <c:pt idx="3">
                  <c:v>81.087999999999994</c:v>
                </c:pt>
                <c:pt idx="4">
                  <c:v>167.20500000000001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EA-4F78-A30C-83B59E5692B4}"/>
            </c:ext>
          </c:extLst>
        </c:ser>
        <c:ser>
          <c:idx val="5"/>
          <c:order val="5"/>
          <c:tx>
            <c:v>99%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Arkusz5!$F$1:$F$5</c:f>
              <c:numCache>
                <c:formatCode>General</c:formatCode>
                <c:ptCount val="5"/>
                <c:pt idx="0">
                  <c:v>1.0108200000000001</c:v>
                </c:pt>
                <c:pt idx="1">
                  <c:v>5.53918</c:v>
                </c:pt>
                <c:pt idx="2">
                  <c:v>11.113899999999999</c:v>
                </c:pt>
                <c:pt idx="3">
                  <c:v>63.854199999999999</c:v>
                </c:pt>
                <c:pt idx="4">
                  <c:v>137.21899999999999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EA-4F78-A30C-83B59E5692B4}"/>
            </c:ext>
          </c:extLst>
        </c:ser>
        <c:ser>
          <c:idx val="6"/>
          <c:order val="6"/>
          <c:tx>
            <c:v>99,7%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Arkusz5!$G$1:$G$5</c:f>
              <c:numCache>
                <c:formatCode>General</c:formatCode>
                <c:ptCount val="5"/>
                <c:pt idx="0">
                  <c:v>0.94387500000000002</c:v>
                </c:pt>
                <c:pt idx="1">
                  <c:v>5.1373800000000003</c:v>
                </c:pt>
                <c:pt idx="2">
                  <c:v>10.021000000000001</c:v>
                </c:pt>
                <c:pt idx="3">
                  <c:v>57.2654</c:v>
                </c:pt>
                <c:pt idx="4">
                  <c:v>122.429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EA-4F78-A30C-83B59E5692B4}"/>
            </c:ext>
          </c:extLst>
        </c:ser>
        <c:ser>
          <c:idx val="7"/>
          <c:order val="7"/>
          <c:tx>
            <c:v>odwrotnie posortowane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Arkusz5!$H$1:$H$5</c:f>
              <c:numCache>
                <c:formatCode>General</c:formatCode>
                <c:ptCount val="5"/>
                <c:pt idx="0">
                  <c:v>0.63142299999999996</c:v>
                </c:pt>
                <c:pt idx="1">
                  <c:v>3.4926400000000002</c:v>
                </c:pt>
                <c:pt idx="2">
                  <c:v>7.9845899999999999</c:v>
                </c:pt>
                <c:pt idx="3">
                  <c:v>49.661700000000003</c:v>
                </c:pt>
                <c:pt idx="4">
                  <c:v>102.678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EA-4F78-A30C-83B59E569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601632"/>
        <c:axId val="815697968"/>
      </c:barChart>
      <c:catAx>
        <c:axId val="429601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697968"/>
        <c:crosses val="autoZero"/>
        <c:auto val="1"/>
        <c:lblAlgn val="ctr"/>
        <c:lblOffset val="100"/>
        <c:noMultiLvlLbl val="0"/>
      </c:catAx>
      <c:valAx>
        <c:axId val="81569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01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Arkusz8!$A$1:$A$5</c:f>
              <c:numCache>
                <c:formatCode>0.000</c:formatCode>
                <c:ptCount val="5"/>
                <c:pt idx="0">
                  <c:v>2.60501</c:v>
                </c:pt>
                <c:pt idx="1">
                  <c:v>15.9778</c:v>
                </c:pt>
                <c:pt idx="2">
                  <c:v>35.322099999999999</c:v>
                </c:pt>
                <c:pt idx="3">
                  <c:v>185.06100000000001</c:v>
                </c:pt>
                <c:pt idx="4">
                  <c:v>384.50700000000001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9-49B8-BC9F-1D07686EAE44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Arkusz8!$B$1:$B$5</c:f>
              <c:numCache>
                <c:formatCode>General</c:formatCode>
                <c:ptCount val="5"/>
                <c:pt idx="0">
                  <c:v>2.6700900000000001</c:v>
                </c:pt>
                <c:pt idx="1">
                  <c:v>16.293099999999999</c:v>
                </c:pt>
                <c:pt idx="2">
                  <c:v>29.695399999999999</c:v>
                </c:pt>
                <c:pt idx="3">
                  <c:v>159.619</c:v>
                </c:pt>
                <c:pt idx="4">
                  <c:v>344.96899999999999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C9-49B8-BC9F-1D07686EAE44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Arkusz8!$C$1:$C$5</c:f>
              <c:numCache>
                <c:formatCode>General</c:formatCode>
                <c:ptCount val="5"/>
                <c:pt idx="0">
                  <c:v>2.11355</c:v>
                </c:pt>
                <c:pt idx="1">
                  <c:v>12.106299999999999</c:v>
                </c:pt>
                <c:pt idx="2">
                  <c:v>24.220099999999999</c:v>
                </c:pt>
                <c:pt idx="3">
                  <c:v>128.09</c:v>
                </c:pt>
                <c:pt idx="4">
                  <c:v>262.03199999999998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C9-49B8-BC9F-1D07686EA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146784"/>
        <c:axId val="440504144"/>
      </c:barChart>
      <c:catAx>
        <c:axId val="247146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4144"/>
        <c:crosses val="autoZero"/>
        <c:auto val="1"/>
        <c:lblAlgn val="ctr"/>
        <c:lblOffset val="100"/>
        <c:noMultiLvlLbl val="0"/>
      </c:catAx>
      <c:valAx>
        <c:axId val="44050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146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25%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825481189851268"/>
          <c:y val="2.5428331875182269E-2"/>
          <c:w val="0.84596062992125987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Arkusz9!$A$1:$A$5</c:f>
              <c:numCache>
                <c:formatCode>0.000</c:formatCode>
                <c:ptCount val="5"/>
                <c:pt idx="0">
                  <c:v>3.2282999999999999</c:v>
                </c:pt>
                <c:pt idx="1">
                  <c:v>15.9847</c:v>
                </c:pt>
                <c:pt idx="2">
                  <c:v>36.025799999999997</c:v>
                </c:pt>
                <c:pt idx="3">
                  <c:v>196.04499999999999</c:v>
                </c:pt>
                <c:pt idx="4">
                  <c:v>365.81400000000002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F-439D-A518-32885EB4EE33}"/>
            </c:ext>
          </c:extLst>
        </c:ser>
        <c:ser>
          <c:idx val="1"/>
          <c:order val="1"/>
          <c:tx>
            <c:v>Quick 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Arkusz9!$B$1:$B$5</c:f>
              <c:numCache>
                <c:formatCode>General</c:formatCode>
                <c:ptCount val="5"/>
                <c:pt idx="0">
                  <c:v>2.9812599999999998</c:v>
                </c:pt>
                <c:pt idx="1">
                  <c:v>16.104099999999999</c:v>
                </c:pt>
                <c:pt idx="2">
                  <c:v>29.824200000000001</c:v>
                </c:pt>
                <c:pt idx="3">
                  <c:v>150.32900000000001</c:v>
                </c:pt>
                <c:pt idx="4">
                  <c:v>305.33600000000001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6F-439D-A518-32885EB4EE33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Arkusz9!$C$1:$C$5</c:f>
              <c:numCache>
                <c:formatCode>General</c:formatCode>
                <c:ptCount val="5"/>
                <c:pt idx="0">
                  <c:v>2.08927</c:v>
                </c:pt>
                <c:pt idx="1">
                  <c:v>11.8531</c:v>
                </c:pt>
                <c:pt idx="2">
                  <c:v>23.693100000000001</c:v>
                </c:pt>
                <c:pt idx="3">
                  <c:v>121.73</c:v>
                </c:pt>
                <c:pt idx="4">
                  <c:v>286.00099999999998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6F-439D-A518-32885EB4E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667488"/>
        <c:axId val="440530768"/>
      </c:barChart>
      <c:catAx>
        <c:axId val="823667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30768"/>
        <c:crosses val="autoZero"/>
        <c:auto val="1"/>
        <c:lblAlgn val="ctr"/>
        <c:lblOffset val="100"/>
        <c:noMultiLvlLbl val="0"/>
      </c:catAx>
      <c:valAx>
        <c:axId val="44053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667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50%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Arkusz10!$A$4:$A$8</c:f>
              <c:numCache>
                <c:formatCode>0.000</c:formatCode>
                <c:ptCount val="5"/>
                <c:pt idx="0">
                  <c:v>1.99027</c:v>
                </c:pt>
                <c:pt idx="1">
                  <c:v>12.7142</c:v>
                </c:pt>
                <c:pt idx="2">
                  <c:v>28.289000000000001</c:v>
                </c:pt>
                <c:pt idx="3">
                  <c:v>147.56100000000001</c:v>
                </c:pt>
                <c:pt idx="4">
                  <c:v>317.98899999999998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1-49CF-AE0E-888EC1072386}"/>
            </c:ext>
          </c:extLst>
        </c:ser>
        <c:ser>
          <c:idx val="1"/>
          <c:order val="1"/>
          <c:tx>
            <c:v>Quick sort 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Arkusz10!$B$4:$B$8</c:f>
              <c:numCache>
                <c:formatCode>General</c:formatCode>
                <c:ptCount val="5"/>
                <c:pt idx="0">
                  <c:v>4.2229900000000002</c:v>
                </c:pt>
                <c:pt idx="1">
                  <c:v>23.671099999999999</c:v>
                </c:pt>
                <c:pt idx="2">
                  <c:v>49.268500000000003</c:v>
                </c:pt>
                <c:pt idx="3">
                  <c:v>351.06900000000002</c:v>
                </c:pt>
                <c:pt idx="4">
                  <c:v>890.90200000000004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F1-49CF-AE0E-888EC1072386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Arkusz10!$C$4:$C$8</c:f>
              <c:numCache>
                <c:formatCode>General</c:formatCode>
                <c:ptCount val="5"/>
                <c:pt idx="0">
                  <c:v>3.2125499999999998</c:v>
                </c:pt>
                <c:pt idx="1">
                  <c:v>18.553899999999999</c:v>
                </c:pt>
                <c:pt idx="2">
                  <c:v>36.731000000000002</c:v>
                </c:pt>
                <c:pt idx="3">
                  <c:v>217.65299999999999</c:v>
                </c:pt>
                <c:pt idx="4">
                  <c:v>545.33000000000004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F1-49CF-AE0E-888EC1072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155184"/>
        <c:axId val="440517040"/>
      </c:barChart>
      <c:catAx>
        <c:axId val="24715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7040"/>
        <c:crosses val="autoZero"/>
        <c:auto val="1"/>
        <c:lblAlgn val="ctr"/>
        <c:lblOffset val="100"/>
        <c:noMultiLvlLbl val="0"/>
      </c:catAx>
      <c:valAx>
        <c:axId val="44051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155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75%</a:t>
            </a:r>
            <a:endParaRPr lang="en-US"/>
          </a:p>
        </c:rich>
      </c:tx>
      <c:layout>
        <c:manualLayout>
          <c:xMode val="edge"/>
          <c:yMode val="edge"/>
          <c:x val="0.377020778652668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Arkusz11!$A$1:$A$5</c:f>
              <c:numCache>
                <c:formatCode>0.000</c:formatCode>
                <c:ptCount val="5"/>
                <c:pt idx="0">
                  <c:v>1.4934499999999999</c:v>
                </c:pt>
                <c:pt idx="1">
                  <c:v>10.3918</c:v>
                </c:pt>
                <c:pt idx="2">
                  <c:v>22.239899999999999</c:v>
                </c:pt>
                <c:pt idx="3">
                  <c:v>107.935</c:v>
                </c:pt>
                <c:pt idx="4">
                  <c:v>212.28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71-4C24-A8AB-F1B7BE71E26C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Arkusz11!$B$1:$B$5</c:f>
              <c:numCache>
                <c:formatCode>General</c:formatCode>
                <c:ptCount val="5"/>
                <c:pt idx="0">
                  <c:v>1.9892099999999999</c:v>
                </c:pt>
                <c:pt idx="1">
                  <c:v>10.8964</c:v>
                </c:pt>
                <c:pt idx="2">
                  <c:v>22.534500000000001</c:v>
                </c:pt>
                <c:pt idx="3">
                  <c:v>118.619</c:v>
                </c:pt>
                <c:pt idx="4">
                  <c:v>243.88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71-4C24-A8AB-F1B7BE71E26C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Arkusz11!$C$1:$C$5</c:f>
              <c:numCache>
                <c:formatCode>General</c:formatCode>
                <c:ptCount val="5"/>
                <c:pt idx="0">
                  <c:v>1.7498199999999999</c:v>
                </c:pt>
                <c:pt idx="1">
                  <c:v>9.2950400000000002</c:v>
                </c:pt>
                <c:pt idx="2">
                  <c:v>17.454499999999999</c:v>
                </c:pt>
                <c:pt idx="3">
                  <c:v>95.646299999999997</c:v>
                </c:pt>
                <c:pt idx="4">
                  <c:v>185.92099999999999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71-4C24-A8AB-F1B7BE71E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403616"/>
        <c:axId val="440505808"/>
      </c:barChart>
      <c:catAx>
        <c:axId val="131403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5808"/>
        <c:crosses val="autoZero"/>
        <c:auto val="1"/>
        <c:lblAlgn val="ctr"/>
        <c:lblOffset val="100"/>
        <c:noMultiLvlLbl val="0"/>
      </c:catAx>
      <c:valAx>
        <c:axId val="44050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4036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95%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Arkusz12!$A$1:$A$5</c:f>
              <c:numCache>
                <c:formatCode>0.000</c:formatCode>
                <c:ptCount val="5"/>
                <c:pt idx="0">
                  <c:v>1.4424600000000001</c:v>
                </c:pt>
                <c:pt idx="1">
                  <c:v>7.29183</c:v>
                </c:pt>
                <c:pt idx="2">
                  <c:v>14.8691</c:v>
                </c:pt>
                <c:pt idx="3">
                  <c:v>88.346599999999995</c:v>
                </c:pt>
                <c:pt idx="4">
                  <c:v>185.53800000000001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2-4F16-AD21-E1FECCC1ED12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Arkusz12!$B$1:$B$5</c:f>
              <c:numCache>
                <c:formatCode>General</c:formatCode>
                <c:ptCount val="5"/>
                <c:pt idx="0">
                  <c:v>1.6525700000000001</c:v>
                </c:pt>
                <c:pt idx="1">
                  <c:v>9.1739899999999999</c:v>
                </c:pt>
                <c:pt idx="2">
                  <c:v>18.502199999999998</c:v>
                </c:pt>
                <c:pt idx="3">
                  <c:v>100.441</c:v>
                </c:pt>
                <c:pt idx="4">
                  <c:v>206.648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C2-4F16-AD21-E1FECCC1ED12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Arkusz12!$C$1:$C$5</c:f>
              <c:numCache>
                <c:formatCode>General</c:formatCode>
                <c:ptCount val="5"/>
                <c:pt idx="0">
                  <c:v>1.4119200000000001</c:v>
                </c:pt>
                <c:pt idx="1">
                  <c:v>7.8542199999999998</c:v>
                </c:pt>
                <c:pt idx="2">
                  <c:v>14.988899999999999</c:v>
                </c:pt>
                <c:pt idx="3">
                  <c:v>81.087999999999994</c:v>
                </c:pt>
                <c:pt idx="4">
                  <c:v>167.20500000000001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C2-4F16-AD21-E1FECCC1E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136624"/>
        <c:axId val="440492496"/>
      </c:barChart>
      <c:catAx>
        <c:axId val="44813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492496"/>
        <c:crosses val="autoZero"/>
        <c:auto val="1"/>
        <c:lblAlgn val="ctr"/>
        <c:lblOffset val="100"/>
        <c:noMultiLvlLbl val="0"/>
      </c:catAx>
      <c:valAx>
        <c:axId val="44049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1366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dla 99%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 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Arkusz13!$A$1:$A$5</c:f>
              <c:numCache>
                <c:formatCode>0.000</c:formatCode>
                <c:ptCount val="5"/>
                <c:pt idx="0">
                  <c:v>1.51447</c:v>
                </c:pt>
                <c:pt idx="1">
                  <c:v>8.0347299999999997</c:v>
                </c:pt>
                <c:pt idx="2">
                  <c:v>14.852</c:v>
                </c:pt>
                <c:pt idx="3">
                  <c:v>97.644000000000005</c:v>
                </c:pt>
                <c:pt idx="4">
                  <c:v>197.922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4C-421D-9D53-F756966F993F}"/>
            </c:ext>
          </c:extLst>
        </c:ser>
        <c:ser>
          <c:idx val="1"/>
          <c:order val="1"/>
          <c:tx>
            <c:v>Quick 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Arkusz13!$B$1:$B$5</c:f>
              <c:numCache>
                <c:formatCode>General</c:formatCode>
                <c:ptCount val="5"/>
                <c:pt idx="0">
                  <c:v>1.4189000000000001</c:v>
                </c:pt>
                <c:pt idx="1">
                  <c:v>7.8727900000000002</c:v>
                </c:pt>
                <c:pt idx="2">
                  <c:v>16.284700000000001</c:v>
                </c:pt>
                <c:pt idx="3">
                  <c:v>89.620699999999999</c:v>
                </c:pt>
                <c:pt idx="4">
                  <c:v>186.226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4C-421D-9D53-F756966F993F}"/>
            </c:ext>
          </c:extLst>
        </c:ser>
        <c:ser>
          <c:idx val="2"/>
          <c:order val="2"/>
          <c:tx>
            <c:v>Intro 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Arkusz13!$C$1:$C$5</c:f>
              <c:numCache>
                <c:formatCode>General</c:formatCode>
                <c:ptCount val="5"/>
                <c:pt idx="0">
                  <c:v>1.40246</c:v>
                </c:pt>
                <c:pt idx="1">
                  <c:v>7.6059999999999999</c:v>
                </c:pt>
                <c:pt idx="2">
                  <c:v>15.394</c:v>
                </c:pt>
                <c:pt idx="3">
                  <c:v>84.526499999999999</c:v>
                </c:pt>
                <c:pt idx="4">
                  <c:v>177.11699999999999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4C-421D-9D53-F756966F9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401616"/>
        <c:axId val="440494992"/>
      </c:barChart>
      <c:catAx>
        <c:axId val="131401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494992"/>
        <c:crosses val="autoZero"/>
        <c:auto val="1"/>
        <c:lblAlgn val="ctr"/>
        <c:lblOffset val="100"/>
        <c:noMultiLvlLbl val="0"/>
      </c:catAx>
      <c:valAx>
        <c:axId val="4404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4016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10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249027</dc:creator>
  <cp:keywords/>
  <dc:description/>
  <cp:lastModifiedBy>Student 249027</cp:lastModifiedBy>
  <cp:revision>2</cp:revision>
  <dcterms:created xsi:type="dcterms:W3CDTF">2020-03-26T12:23:00Z</dcterms:created>
  <dcterms:modified xsi:type="dcterms:W3CDTF">2020-03-27T11:10:00Z</dcterms:modified>
</cp:coreProperties>
</file>