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revenue by 5% by the end of the year rolling out a new service that provides office plants to top clients.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customer satisfaction from 90%-95%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Mitigate potential revenue losses due to late shipments and cancellations by ensuring an efficient, high quality customer experience.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revenue gradually over time by 5%.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Plant Pals runs smoothly,the plan also supports the larger project goal of 5%revenue increase for Office Green and increase in customer satisfaction and avoid delay in delivery.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benefits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cost areas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in-scope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out-of-scope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5% increased revenue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Increased brand awarebess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