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B240" w14:textId="777EA9BB" w:rsidR="00D97D99" w:rsidRDefault="00D97D99" w:rsidP="00D97D99">
      <w:pPr>
        <w:spacing w:line="0" w:lineRule="atLeast"/>
        <w:ind w:right="40"/>
        <w:jc w:val="right"/>
        <w:rPr>
          <w:rFonts w:asciiTheme="minorHAnsi" w:eastAsia="Times New Roman" w:hAnsiTheme="minorHAnsi" w:cstheme="minorHAnsi"/>
          <w:bCs/>
          <w:i/>
          <w:iCs/>
          <w:kern w:val="0"/>
          <w:sz w:val="20"/>
          <w:szCs w:val="20"/>
          <w:lang w:eastAsia="pl-PL" w:bidi="ar-SA"/>
        </w:rPr>
      </w:pPr>
      <w:bookmarkStart w:id="0" w:name="_Hlk517780269"/>
      <w:r>
        <w:rPr>
          <w:rFonts w:asciiTheme="minorHAnsi" w:hAnsiTheme="minorHAnsi" w:cstheme="minorHAnsi"/>
          <w:bCs/>
          <w:i/>
          <w:iCs/>
          <w:sz w:val="20"/>
          <w:szCs w:val="20"/>
        </w:rPr>
        <w:t>Załącznik nr 5 do Ogłoszenia o naborze 20</w:t>
      </w:r>
      <w:r w:rsidR="00EE239C">
        <w:rPr>
          <w:rFonts w:asciiTheme="minorHAnsi" w:hAnsiTheme="minorHAnsi" w:cstheme="minorHAnsi"/>
          <w:bCs/>
          <w:i/>
          <w:iCs/>
          <w:sz w:val="20"/>
          <w:szCs w:val="20"/>
        </w:rPr>
        <w:t>2</w:t>
      </w:r>
      <w:r w:rsidR="005B40F7">
        <w:rPr>
          <w:rFonts w:asciiTheme="minorHAnsi" w:hAnsiTheme="minorHAnsi" w:cstheme="minorHAnsi"/>
          <w:bCs/>
          <w:i/>
          <w:iCs/>
          <w:sz w:val="20"/>
          <w:szCs w:val="20"/>
        </w:rPr>
        <w:t>1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/G/1</w:t>
      </w:r>
      <w:r w:rsidR="00682BDD">
        <w:rPr>
          <w:rFonts w:asciiTheme="minorHAnsi" w:hAnsiTheme="minorHAnsi" w:cstheme="minorHAnsi"/>
          <w:bCs/>
          <w:i/>
          <w:iCs/>
          <w:sz w:val="20"/>
          <w:szCs w:val="20"/>
        </w:rPr>
        <w:t>E</w:t>
      </w:r>
    </w:p>
    <w:p w14:paraId="622BAC0D" w14:textId="77777777" w:rsidR="005B4686" w:rsidRDefault="005B4686" w:rsidP="005B4686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40746509" w14:textId="5367DEFD" w:rsidR="00FA357B" w:rsidRPr="00321941" w:rsidRDefault="00FA357B" w:rsidP="002C004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1941">
        <w:rPr>
          <w:rFonts w:asciiTheme="minorHAnsi" w:hAnsiTheme="minorHAnsi" w:cstheme="minorHAnsi"/>
          <w:b/>
          <w:sz w:val="28"/>
          <w:szCs w:val="28"/>
        </w:rPr>
        <w:t xml:space="preserve">Lokalne kryteria wyboru </w:t>
      </w:r>
      <w:r w:rsidR="005B40F7">
        <w:rPr>
          <w:rFonts w:asciiTheme="minorHAnsi" w:hAnsiTheme="minorHAnsi" w:cstheme="minorHAnsi"/>
          <w:b/>
          <w:sz w:val="28"/>
          <w:szCs w:val="28"/>
        </w:rPr>
        <w:t>G</w:t>
      </w:r>
      <w:r w:rsidRPr="00321941">
        <w:rPr>
          <w:rFonts w:asciiTheme="minorHAnsi" w:hAnsiTheme="minorHAnsi" w:cstheme="minorHAnsi"/>
          <w:b/>
          <w:sz w:val="28"/>
          <w:szCs w:val="28"/>
        </w:rPr>
        <w:t>rantobiorców</w:t>
      </w:r>
    </w:p>
    <w:p w14:paraId="4C54DCD7" w14:textId="77777777" w:rsidR="00FA357B" w:rsidRPr="00321941" w:rsidRDefault="00FA357B" w:rsidP="00FA357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1941">
        <w:rPr>
          <w:rFonts w:asciiTheme="minorHAnsi" w:hAnsiTheme="minorHAnsi" w:cstheme="minorHAnsi"/>
          <w:b/>
          <w:sz w:val="28"/>
          <w:szCs w:val="28"/>
        </w:rPr>
        <w:t>wraz z procedurą zmiany kryteriów</w:t>
      </w:r>
    </w:p>
    <w:p w14:paraId="6EA90463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51A3376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5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2"/>
      </w:tblGrid>
      <w:tr w:rsidR="00FA357B" w:rsidRPr="001F64E8" w14:paraId="685B0229" w14:textId="77777777" w:rsidTr="00293FB1">
        <w:trPr>
          <w:trHeight w:val="810"/>
        </w:trPr>
        <w:tc>
          <w:tcPr>
            <w:tcW w:w="15072" w:type="dxa"/>
            <w:shd w:val="clear" w:color="auto" w:fill="D5DCE4"/>
          </w:tcPr>
          <w:p w14:paraId="209058EE" w14:textId="77777777" w:rsidR="00293FB1" w:rsidRPr="00321941" w:rsidRDefault="00293FB1" w:rsidP="00293FB1">
            <w:pPr>
              <w:spacing w:line="360" w:lineRule="auto"/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Cel ogólny 3: Wsparcie rozwoju gospodarki </w:t>
            </w: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społecznej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 i  przedsiębiorczości społecznej </w:t>
            </w: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na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obszarze LGD Chełmno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do roku 2023</w:t>
            </w:r>
          </w:p>
          <w:p w14:paraId="49233FFF" w14:textId="5CB05509" w:rsidR="00FA357B" w:rsidRPr="00321941" w:rsidRDefault="00293FB1" w:rsidP="00293FB1">
            <w:pPr>
              <w:spacing w:line="360" w:lineRule="auto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3.1. Wsparcie inicjatyw w zakresie ekonomii społecznej   </w:t>
            </w:r>
          </w:p>
        </w:tc>
      </w:tr>
    </w:tbl>
    <w:p w14:paraId="066EC7A6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765"/>
        <w:gridCol w:w="5102"/>
        <w:gridCol w:w="3166"/>
      </w:tblGrid>
      <w:tr w:rsidR="00293FB1" w:rsidRPr="00321941" w14:paraId="7F4A693F" w14:textId="77777777" w:rsidTr="003F4D9B">
        <w:tc>
          <w:tcPr>
            <w:tcW w:w="988" w:type="dxa"/>
            <w:shd w:val="clear" w:color="auto" w:fill="D5DCE4"/>
          </w:tcPr>
          <w:p w14:paraId="1A91C3BC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Lp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5765" w:type="dxa"/>
            <w:shd w:val="clear" w:color="auto" w:fill="D5DCE4"/>
          </w:tcPr>
          <w:p w14:paraId="650EC109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Nazwa Kryterium  wraz z uzasadnieniem</w:t>
            </w:r>
          </w:p>
        </w:tc>
        <w:tc>
          <w:tcPr>
            <w:tcW w:w="5102" w:type="dxa"/>
            <w:shd w:val="clear" w:color="auto" w:fill="D5DCE4"/>
          </w:tcPr>
          <w:p w14:paraId="021069E3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Punktacja</w:t>
            </w:r>
          </w:p>
        </w:tc>
        <w:tc>
          <w:tcPr>
            <w:tcW w:w="3166" w:type="dxa"/>
            <w:shd w:val="clear" w:color="auto" w:fill="D5DCE4"/>
          </w:tcPr>
          <w:p w14:paraId="4ABAE75B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Źródło weryfikacji kryterium</w:t>
            </w:r>
          </w:p>
        </w:tc>
      </w:tr>
      <w:tr w:rsidR="00293FB1" w:rsidRPr="00321941" w14:paraId="69CF7302" w14:textId="77777777" w:rsidTr="003F4D9B">
        <w:trPr>
          <w:trHeight w:val="1320"/>
        </w:trPr>
        <w:tc>
          <w:tcPr>
            <w:tcW w:w="988" w:type="dxa"/>
            <w:shd w:val="clear" w:color="auto" w:fill="D5DCE4"/>
          </w:tcPr>
          <w:p w14:paraId="64B488E6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6F350894" w14:textId="60971751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Okres prowadzonej działalności</w:t>
            </w:r>
          </w:p>
          <w:p w14:paraId="5830730C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Ocenie podlega okres prowadzonej działalności, gdzie początek działalności rozumie się jako datę rejestracji podmiotu.</w:t>
            </w:r>
          </w:p>
          <w:p w14:paraId="55BA6867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6B441779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pkt. -okres działalności 0-12 miesięcy</w:t>
            </w:r>
          </w:p>
          <w:p w14:paraId="2E4577EA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2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pkt.- okres działalności od 12 do 24 miesięcy</w:t>
            </w:r>
          </w:p>
          <w:p w14:paraId="3A1628B2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4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pkt. - okres działalności powyżej 24 miesięcy</w:t>
            </w:r>
          </w:p>
          <w:p w14:paraId="7F240296" w14:textId="77777777" w:rsidR="00293FB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384311A" w14:textId="77777777" w:rsidR="00293FB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15C689F" w14:textId="77777777" w:rsidR="00293FB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71265BBF" w14:textId="77777777" w:rsidR="00293FB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79AB33C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4DAE096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4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punkt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3166" w:type="dxa"/>
            <w:shd w:val="clear" w:color="auto" w:fill="auto"/>
          </w:tcPr>
          <w:p w14:paraId="4BE6A186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Kryterium weryfikowane na podstawie </w:t>
            </w: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Kopi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 </w:t>
            </w: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dokument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ów</w:t>
            </w: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rejestrow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ych</w:t>
            </w: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odpowiedniego dla Wnioskodawcy np. KRS, CEiDG, wpis do rejestru właściwy dla podmiotu/ instytucji potwierdzający datę rejestracji podmiotu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, akt powołania lub nadania praw miejskich, uchwała powołująca daną instytucję</w:t>
            </w:r>
          </w:p>
        </w:tc>
      </w:tr>
      <w:tr w:rsidR="00293FB1" w:rsidRPr="00321941" w14:paraId="0A930BBA" w14:textId="77777777" w:rsidTr="003F4D9B">
        <w:tc>
          <w:tcPr>
            <w:tcW w:w="988" w:type="dxa"/>
            <w:shd w:val="clear" w:color="auto" w:fill="D5DCE4"/>
          </w:tcPr>
          <w:p w14:paraId="567C120E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17A8917A" w14:textId="1F665A84" w:rsidR="00293FB1" w:rsidRPr="00293FB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Doświadczenie Wnioskodawcy w realizacji projektów</w:t>
            </w:r>
          </w:p>
          <w:p w14:paraId="38E1BA2E" w14:textId="77777777" w:rsidR="00293FB1" w:rsidRPr="00321941" w:rsidRDefault="00293FB1" w:rsidP="00293FB1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Ocenie podlega doświadczenie w realizacji projektów/działań o tematyce zbieżnej do przedmiotu konkursu, rozumiane jako doświadczenie w realizacji przedsięwzięć ze środków zewnętrznych, w tym krajowych i dotacji UE, chyba że okres działania jest krótszy.</w:t>
            </w:r>
          </w:p>
          <w:p w14:paraId="46B04DC7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74A4A7AD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 0 pkt - Wnioskodawca nie posiada doświadczenia w realizacji projektów/działań o tematyce zbieżnej do przedmiotu konkursu</w:t>
            </w:r>
          </w:p>
          <w:p w14:paraId="6BC196A0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 5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wykazał się realizacją 1-3 projektów/działań o tematyce zbieżnej do przedmiotu konkursu</w:t>
            </w:r>
          </w:p>
          <w:p w14:paraId="7CBC5ED9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10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wykazał się realizacją 4 i więcej projektów/ działań o tematyce zbieżnej do przedmiotu konkursu</w:t>
            </w:r>
          </w:p>
          <w:p w14:paraId="618FAC3B" w14:textId="77777777" w:rsidR="00293FB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5FCF47F2" w14:textId="77777777" w:rsidR="00293FB1" w:rsidRPr="006422AD" w:rsidRDefault="00293FB1" w:rsidP="003F4D9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Realizacja projektów rozumiane jako:</w:t>
            </w:r>
          </w:p>
          <w:p w14:paraId="2E07FA10" w14:textId="77777777" w:rsidR="00293FB1" w:rsidRPr="006422AD" w:rsidRDefault="00293FB1" w:rsidP="003F4D9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koordynacja;</w:t>
            </w:r>
          </w:p>
          <w:p w14:paraId="031107EA" w14:textId="77777777" w:rsidR="00293FB1" w:rsidRPr="006422AD" w:rsidRDefault="00293FB1" w:rsidP="003F4D9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rozliczanie projektu;</w:t>
            </w:r>
          </w:p>
          <w:p w14:paraId="3F695627" w14:textId="77777777" w:rsidR="00293FB1" w:rsidRPr="006422AD" w:rsidRDefault="00293FB1" w:rsidP="003F4D9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Działania w projekcie rozumiane jako:</w:t>
            </w:r>
          </w:p>
          <w:p w14:paraId="471AEE36" w14:textId="77777777" w:rsidR="00293FB1" w:rsidRPr="006422AD" w:rsidRDefault="00293FB1" w:rsidP="003F4D9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 prowadzenie szkoleń/warsztatów </w:t>
            </w:r>
          </w:p>
          <w:p w14:paraId="6F316881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5583035D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3166" w:type="dxa"/>
            <w:shd w:val="clear" w:color="auto" w:fill="auto"/>
          </w:tcPr>
          <w:p w14:paraId="1E24F335" w14:textId="2F4DED74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Kryterium weryfikowane na podstawie kopii  sprawozdań z rozliczenia dotacji oraz zestawienia doświadczenia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załącznik do wniosku o dofinansowanie</w:t>
            </w:r>
          </w:p>
        </w:tc>
      </w:tr>
      <w:tr w:rsidR="00293FB1" w:rsidRPr="00321941" w14:paraId="2AC533D7" w14:textId="77777777" w:rsidTr="003F4D9B">
        <w:trPr>
          <w:trHeight w:val="2280"/>
        </w:trPr>
        <w:tc>
          <w:tcPr>
            <w:tcW w:w="988" w:type="dxa"/>
            <w:shd w:val="clear" w:color="auto" w:fill="D5DCE4"/>
          </w:tcPr>
          <w:p w14:paraId="46359F62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12305104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Promocja LGD</w:t>
            </w:r>
          </w:p>
          <w:p w14:paraId="62A0B4D5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Wnioskodawca uwzględnił zastosowanie na etapie wdrażania następujących narzędzi promocji:</w:t>
            </w:r>
          </w:p>
          <w:p w14:paraId="4A4639ED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, w tym tablicach, plakatach itd. </w:t>
            </w:r>
          </w:p>
          <w:p w14:paraId="03291E2E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inf. na stronie internetowej wnioskodawcy </w:t>
            </w:r>
          </w:p>
          <w:p w14:paraId="5B777F76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Specyfikacja narzędzi zostanie opublikowana w naborze konkursowym, zgodnie w wytycznymi Instytucji Zarządzaj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ą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cej.</w:t>
            </w:r>
          </w:p>
        </w:tc>
        <w:tc>
          <w:tcPr>
            <w:tcW w:w="5102" w:type="dxa"/>
            <w:shd w:val="clear" w:color="auto" w:fill="auto"/>
          </w:tcPr>
          <w:p w14:paraId="1261A6EB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 – brak promocji</w:t>
            </w:r>
          </w:p>
          <w:p w14:paraId="474D2FB5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, w tym tablicach, plakatach itd.</w:t>
            </w:r>
          </w:p>
          <w:p w14:paraId="772BFE47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inf. na stronie internetowej wnioskodawcy </w:t>
            </w:r>
          </w:p>
          <w:p w14:paraId="6DC6ED97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395A72E" w14:textId="77777777" w:rsidR="00293FB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  <w:p w14:paraId="1F3B43CA" w14:textId="77777777" w:rsidR="00293FB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  <w:p w14:paraId="3FA45913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  <w:p w14:paraId="1EFA0CB0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6  punktów</w:t>
            </w:r>
          </w:p>
        </w:tc>
        <w:tc>
          <w:tcPr>
            <w:tcW w:w="3166" w:type="dxa"/>
            <w:shd w:val="clear" w:color="auto" w:fill="auto"/>
          </w:tcPr>
          <w:p w14:paraId="79C58D28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</w:t>
            </w:r>
          </w:p>
        </w:tc>
      </w:tr>
      <w:tr w:rsidR="00293FB1" w:rsidRPr="00321941" w14:paraId="5E94413F" w14:textId="77777777" w:rsidTr="003F4D9B">
        <w:tc>
          <w:tcPr>
            <w:tcW w:w="988" w:type="dxa"/>
            <w:shd w:val="clear" w:color="auto" w:fill="D5DCE4"/>
          </w:tcPr>
          <w:p w14:paraId="6A627FC4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424C519E" w14:textId="135A9DFA" w:rsidR="00293FB1" w:rsidRPr="00065E27" w:rsidRDefault="00293FB1" w:rsidP="00065E27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Innowacyjność operacji</w:t>
            </w:r>
          </w:p>
          <w:p w14:paraId="04E40433" w14:textId="77777777" w:rsidR="00293FB1" w:rsidRPr="00321941" w:rsidRDefault="00293FB1" w:rsidP="003F4D9B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Preferowane będą projekty, które będą innowacyjne na poziomie obszaru LSR w jednym z wymiarów: </w:t>
            </w:r>
          </w:p>
          <w:p w14:paraId="3A81DE49" w14:textId="77777777" w:rsidR="00293FB1" w:rsidRPr="00321941" w:rsidRDefault="00293FB1" w:rsidP="003F4D9B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- uczestnika projektu,  </w:t>
            </w:r>
          </w:p>
          <w:p w14:paraId="2339747B" w14:textId="77777777" w:rsidR="00293FB1" w:rsidRPr="00321941" w:rsidRDefault="00293FB1" w:rsidP="003F4D9B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sposobu rozwiązania problemu  </w:t>
            </w:r>
          </w:p>
          <w:p w14:paraId="6E3663FA" w14:textId="77777777" w:rsidR="00293FB1" w:rsidRPr="00321941" w:rsidRDefault="00293FB1" w:rsidP="003F4D9B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formy wsparcia.  </w:t>
            </w:r>
          </w:p>
          <w:p w14:paraId="37A67118" w14:textId="77777777" w:rsidR="00293FB1" w:rsidRPr="00321941" w:rsidRDefault="00293FB1" w:rsidP="003F4D9B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47C531A" w14:textId="3B1F7B03" w:rsidR="00293FB1" w:rsidRPr="00293FB1" w:rsidRDefault="00293FB1" w:rsidP="00293FB1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</w:tc>
        <w:tc>
          <w:tcPr>
            <w:tcW w:w="5102" w:type="dxa"/>
            <w:shd w:val="clear" w:color="auto" w:fill="auto"/>
          </w:tcPr>
          <w:p w14:paraId="01B0EFBA" w14:textId="275676FC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 - projekt  nie wnosi innowacji na obszarze LSR w stosunku do uczestnika projektu  i/lub do sposobu rozwiązywania problemu i/lub projekt nie wnosi innowacji w stosunku do formy wsparcia</w:t>
            </w:r>
          </w:p>
          <w:p w14:paraId="7BE96D29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5pkt - projekt wnosi innowacje na obszarze LSR w stosunku do uczestnika projektu  i/lub do sposobu rozwiązywania problemu i/lub projekt wnosi innowacje w stosunku do formy wsparcia</w:t>
            </w:r>
          </w:p>
          <w:p w14:paraId="450DBFBF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B81EAEA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Innowacyjność rozumiana w stosowaniu podejścia,  w rozwiązaniu problemu nie stosowanego do tej pory na obszarze LSR </w:t>
            </w:r>
          </w:p>
          <w:p w14:paraId="021DD566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4D905AFB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35FF407A" w14:textId="41BEF749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  <w:br/>
            </w:r>
          </w:p>
          <w:p w14:paraId="1C596B61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  <w:highlight w:val="yellow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5 punktów</w:t>
            </w:r>
          </w:p>
        </w:tc>
        <w:tc>
          <w:tcPr>
            <w:tcW w:w="3166" w:type="dxa"/>
            <w:shd w:val="clear" w:color="auto" w:fill="auto"/>
          </w:tcPr>
          <w:p w14:paraId="2D7920A9" w14:textId="77777777" w:rsidR="00293FB1" w:rsidRPr="00321941" w:rsidRDefault="00293FB1" w:rsidP="003F4D9B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 oraz załącznika Opisu innowacyjności na poziomie obszaru LSR w jednym z wymiarów:</w:t>
            </w:r>
          </w:p>
          <w:p w14:paraId="1AE6C49F" w14:textId="77777777" w:rsidR="00293FB1" w:rsidRPr="00321941" w:rsidRDefault="00293FB1" w:rsidP="003F4D9B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uczestnika projektu,</w:t>
            </w:r>
          </w:p>
          <w:p w14:paraId="2211B758" w14:textId="77777777" w:rsidR="00293FB1" w:rsidRPr="00321941" w:rsidRDefault="00293FB1" w:rsidP="003F4D9B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sposobu rozwiązania problemu</w:t>
            </w:r>
          </w:p>
          <w:p w14:paraId="1CB36B8F" w14:textId="77777777" w:rsidR="00293FB1" w:rsidRPr="00321941" w:rsidRDefault="00293FB1" w:rsidP="003F4D9B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formy wsparcia.</w:t>
            </w:r>
          </w:p>
          <w:p w14:paraId="2A321675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293FB1" w:rsidRPr="00321941" w14:paraId="764A7F14" w14:textId="77777777" w:rsidTr="003F4D9B">
        <w:tc>
          <w:tcPr>
            <w:tcW w:w="988" w:type="dxa"/>
            <w:shd w:val="clear" w:color="auto" w:fill="D5DCE4"/>
          </w:tcPr>
          <w:p w14:paraId="7897F74F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4A29D952" w14:textId="56217326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Potrzeba realizacji projektu oraz zasadność wyboru grupy docelowej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br/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Ocenie podlega uzasadnienie potrzeby realizacji projektu w kontekście: </w:t>
            </w:r>
          </w:p>
          <w:p w14:paraId="4282FC3A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problemu/ów grupy docelowej w powiązaniu ze specyficznymi jej cechami, na obszarze realizacji projektu, na które odpowiedź stanowi cel projektu wraz ze wskazaniem wiarygodnych i miarodajnych danych i źródeł potwierdzających występowanie opisanego/ych problemu/ów, </w:t>
            </w:r>
          </w:p>
          <w:p w14:paraId="361303F4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28B7B0A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BFBE87B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5A1272DA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0, 5 lub 10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kt pkt.-Uzasadnienie problemu/ów grupy docelowej w powiązaniu ze specyficznymi jej cechami, na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obszarze realizacji projektu, na które odpowiedź stanowi cel projektu wraz ze wskazaniem wiarygodnych i miarodajnych danych i źródeł potwierdzających występowanie opisanego/ych problemu/ów,</w:t>
            </w:r>
          </w:p>
          <w:p w14:paraId="10CCE991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5D8ADEB" w14:textId="5C4B6B85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kt -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2592AA1C" w14:textId="5468AAAD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5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pkt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0694C82C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10 p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kt -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przyznane zostaną wówczas, gdy 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  <w:p w14:paraId="068B40C3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74029D8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3166" w:type="dxa"/>
            <w:shd w:val="clear" w:color="auto" w:fill="auto"/>
          </w:tcPr>
          <w:p w14:paraId="6392155D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Kryterium weryfikowane na podstawie treści wniosku o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dofinansowanie</w:t>
            </w:r>
          </w:p>
        </w:tc>
      </w:tr>
      <w:tr w:rsidR="00293FB1" w:rsidRPr="00321941" w14:paraId="13ED999E" w14:textId="77777777" w:rsidTr="003F4D9B">
        <w:trPr>
          <w:trHeight w:val="1626"/>
        </w:trPr>
        <w:tc>
          <w:tcPr>
            <w:tcW w:w="988" w:type="dxa"/>
            <w:shd w:val="clear" w:color="auto" w:fill="D5DCE4"/>
          </w:tcPr>
          <w:p w14:paraId="22FA0A7E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6D7150B9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Trafność doboru zadań i opis zadań w kontekście osiągnięcia celów/wskaźników projektu</w:t>
            </w:r>
          </w:p>
          <w:p w14:paraId="2F32B7F4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Ocenie podlega opis zadań, tj. : </w:t>
            </w:r>
          </w:p>
          <w:p w14:paraId="47C7D119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-adekwatność doboru zadań i ich merytoryczna zawartość w świetle zdiagnozowanego/ych problemu/ów wraz opisem sposobu rekrutacji uczestników/uczestniczek projektu,</w:t>
            </w:r>
          </w:p>
          <w:p w14:paraId="57AD9488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- prawidłowość opisu i doboru wskaźników.</w:t>
            </w:r>
          </w:p>
          <w:p w14:paraId="39280730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FA897D9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11D650C1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0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pkt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65E4A552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5 p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kt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-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0FA73740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10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pkt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przyznanych zostanie wówczas, gdy wnioskodawca wyczerpująco i prawidłowo opisał i uzasadnił daną kwestię,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nie popełnił błędów merytorycznych oraz spełnił wymagania wskazane w instrukcji do wniosku o dofinansowanie i ogłoszeniu o naborze w kontekście danej kwestii</w:t>
            </w:r>
          </w:p>
          <w:p w14:paraId="1CFF3A6A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670B5C6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3166" w:type="dxa"/>
            <w:shd w:val="clear" w:color="auto" w:fill="auto"/>
          </w:tcPr>
          <w:p w14:paraId="2CFA286D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Kryterium weryfikowane na podstawie treści wniosku o dofinansowanie</w:t>
            </w:r>
          </w:p>
        </w:tc>
      </w:tr>
      <w:tr w:rsidR="00293FB1" w:rsidRPr="00321941" w14:paraId="28813193" w14:textId="77777777" w:rsidTr="003F4D9B">
        <w:trPr>
          <w:trHeight w:val="478"/>
        </w:trPr>
        <w:tc>
          <w:tcPr>
            <w:tcW w:w="988" w:type="dxa"/>
            <w:shd w:val="clear" w:color="auto" w:fill="D5DCE4"/>
          </w:tcPr>
          <w:p w14:paraId="1D2B08D5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16FEA355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Udział w spotkaniu informacyjnym/szkoleniu</w:t>
            </w: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br/>
              <w:t xml:space="preserve"> i doradztwie </w:t>
            </w:r>
          </w:p>
          <w:p w14:paraId="41CCA016" w14:textId="77777777" w:rsidR="00293FB1" w:rsidRPr="00321941" w:rsidRDefault="00293FB1" w:rsidP="003F4D9B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Preferuje się by wnioskodawca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lub przedstawiciel wnioskodawcy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wziął udział w spotkaniach/ szkoleniach oraz doradztwie organizowanych przez LGD  w okresie działań informacyjnych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w ramach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5102" w:type="dxa"/>
            <w:shd w:val="clear" w:color="auto" w:fill="auto"/>
          </w:tcPr>
          <w:p w14:paraId="62264C46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nie korzystał  z żadnej formy wsparcia przygotowawczego oferowanego przez LGD</w:t>
            </w:r>
          </w:p>
          <w:p w14:paraId="724902ED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3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osobiście lub przedstawiciel wnioskodawcy korzystał z doradztwa LGD (wizyta w biurze) na etapie przygotowywania ocenianego wniosku o dofinansowanie.</w:t>
            </w:r>
          </w:p>
          <w:p w14:paraId="760234B5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3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osobiście lub przedstawiciel wnioskodawcy uczestniczył w min. 1 szkoleniu organizowanym przez LGD z zakresu przygotowywania wniosków o dofinansowanie lub spotkaniu informacyjnym organizowanym przez LGD na temat przygotowania wniosku w danym naborze</w:t>
            </w:r>
          </w:p>
          <w:p w14:paraId="4DACF246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7ED73E45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6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punktów</w:t>
            </w:r>
          </w:p>
        </w:tc>
        <w:tc>
          <w:tcPr>
            <w:tcW w:w="3166" w:type="dxa"/>
            <w:shd w:val="clear" w:color="auto" w:fill="auto"/>
          </w:tcPr>
          <w:p w14:paraId="227CCAEA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w oparciu o: l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ist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ę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obecności na spotkaniu informacyjnym/ szkoleniu, karta doradztwa udzielonego przez Biuro LGD Chełmno podpisana przez Wnioskodawcę</w:t>
            </w:r>
          </w:p>
        </w:tc>
      </w:tr>
      <w:tr w:rsidR="00293FB1" w:rsidRPr="00321941" w14:paraId="7A82B5BC" w14:textId="77777777" w:rsidTr="003F4D9B">
        <w:tc>
          <w:tcPr>
            <w:tcW w:w="988" w:type="dxa"/>
            <w:shd w:val="clear" w:color="auto" w:fill="D5DCE4"/>
          </w:tcPr>
          <w:p w14:paraId="7F57A193" w14:textId="77777777" w:rsidR="00293FB1" w:rsidRPr="00321941" w:rsidRDefault="00293FB1" w:rsidP="003F4D9B">
            <w:pPr>
              <w:pStyle w:val="Akapitzlist"/>
              <w:numPr>
                <w:ilvl w:val="0"/>
                <w:numId w:val="7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</w:tcPr>
          <w:p w14:paraId="5FDE880D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Zgodność z Lokalnym/ Gminnym Programem Rewitalizacji</w:t>
            </w:r>
          </w:p>
          <w:p w14:paraId="77163A1A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Preferuje się projekty realizowane na obszarze objętym Lokalnym/Gminnym Programem Rewitalizacji i z nim zgodne.</w:t>
            </w:r>
          </w:p>
        </w:tc>
        <w:tc>
          <w:tcPr>
            <w:tcW w:w="5102" w:type="dxa"/>
            <w:shd w:val="clear" w:color="auto" w:fill="auto"/>
          </w:tcPr>
          <w:p w14:paraId="2AC0006A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projekt nie jest zgodny z Lokalnym/Gminnym Programem Rewitalizacji</w:t>
            </w:r>
          </w:p>
          <w:p w14:paraId="22DCBDD9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2 pkt – projekt jest zgodny z Lokalnym/Gminnym Programem Rewitalizacji</w:t>
            </w:r>
          </w:p>
          <w:p w14:paraId="096BF16C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D196992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2 punkty</w:t>
            </w:r>
          </w:p>
        </w:tc>
        <w:tc>
          <w:tcPr>
            <w:tcW w:w="3166" w:type="dxa"/>
            <w:shd w:val="clear" w:color="auto" w:fill="auto"/>
          </w:tcPr>
          <w:p w14:paraId="22F3B565" w14:textId="77777777" w:rsidR="00293FB1" w:rsidRPr="00321941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dofinansowanie, opis powiązania z LPR/GPR</w:t>
            </w:r>
          </w:p>
        </w:tc>
      </w:tr>
      <w:tr w:rsidR="00293FB1" w:rsidRPr="001F64E8" w14:paraId="3ED54C72" w14:textId="77777777" w:rsidTr="003F4D9B">
        <w:tc>
          <w:tcPr>
            <w:tcW w:w="988" w:type="dxa"/>
            <w:shd w:val="clear" w:color="auto" w:fill="D5DCE4"/>
            <w:vAlign w:val="center"/>
          </w:tcPr>
          <w:p w14:paraId="0382E988" w14:textId="77777777" w:rsidR="00293FB1" w:rsidRPr="001F64E8" w:rsidRDefault="00293FB1" w:rsidP="003F4D9B">
            <w:pPr>
              <w:pStyle w:val="Standard"/>
              <w:numPr>
                <w:ilvl w:val="0"/>
                <w:numId w:val="7"/>
              </w:numPr>
              <w:spacing w:line="252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  <w:vAlign w:val="center"/>
          </w:tcPr>
          <w:p w14:paraId="5045C02D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Liczba inicjatyw </w:t>
            </w:r>
          </w:p>
          <w:p w14:paraId="1EEA59EA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Ocenie podlega liczba inicjatyw dotyczących rozwoju ekonomii społecznej przewidzianych do realizacji przez wnioskodawcę  w ramach przyznanego grantu.</w:t>
            </w:r>
          </w:p>
          <w:p w14:paraId="1F881823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Przez inicjatywę dotyczącą rozwoju ekonomii społecznej rozumie się działania wspierające budowanie i rozwój lokalnych partnerstw wielosektorowych na rzecz tworzenia i rozwoju przedsiębiorstw społecznych poprzez organizację i przeprowadzenie, np.:</w:t>
            </w:r>
          </w:p>
          <w:p w14:paraId="4312BE0C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spotkań</w:t>
            </w:r>
          </w:p>
          <w:p w14:paraId="4111A934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- konferencji</w:t>
            </w:r>
          </w:p>
          <w:p w14:paraId="5D94F75F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- forów</w:t>
            </w:r>
          </w:p>
          <w:p w14:paraId="36E2DC4B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- seminariów</w:t>
            </w:r>
          </w:p>
          <w:p w14:paraId="3829E87D" w14:textId="77777777" w:rsidR="00293FB1" w:rsidRPr="00C3460E" w:rsidRDefault="00293FB1" w:rsidP="003F4D9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- wizyt studyjnych (wyłącznie w obrębie województwa kujawsko-pomorskiego)</w:t>
            </w:r>
          </w:p>
          <w:p w14:paraId="3AC8C293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- innych form, które wspierają rozwój gospodarki społecznej i przedsiębiorczości społecznej</w:t>
            </w:r>
            <w:r w:rsidRPr="00C3460E">
              <w:t xml:space="preserve">  </w:t>
            </w:r>
          </w:p>
        </w:tc>
        <w:tc>
          <w:tcPr>
            <w:tcW w:w="5102" w:type="dxa"/>
            <w:shd w:val="clear" w:color="auto" w:fill="auto"/>
          </w:tcPr>
          <w:p w14:paraId="42DD5FF6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0 pkt- brak inicjatyw </w:t>
            </w:r>
          </w:p>
          <w:p w14:paraId="41B7430C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sz w:val="20"/>
                <w:szCs w:val="20"/>
              </w:rPr>
              <w:t>3 pkt – realizacja 1 inicjatywy</w:t>
            </w:r>
          </w:p>
          <w:p w14:paraId="2E9405AB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sz w:val="20"/>
                <w:szCs w:val="20"/>
              </w:rPr>
              <w:t>6 pkt – realizacja 2 inicjatyw</w:t>
            </w:r>
          </w:p>
          <w:p w14:paraId="7FAA3095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F16BE90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6996CA8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6EA5AC6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7A92D6F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040A417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AE3B2A3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C48FE78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7570EFF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1E71877" w14:textId="77777777" w:rsidR="00293FB1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9A2602D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5507B1C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napToGrid w:val="0"/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B8FB611" w14:textId="77777777" w:rsidR="00293FB1" w:rsidRPr="00C3460E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C3460E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6 punktów</w:t>
            </w:r>
          </w:p>
        </w:tc>
        <w:tc>
          <w:tcPr>
            <w:tcW w:w="3166" w:type="dxa"/>
            <w:shd w:val="clear" w:color="auto" w:fill="auto"/>
          </w:tcPr>
          <w:p w14:paraId="73487C4B" w14:textId="77777777" w:rsidR="00293FB1" w:rsidRPr="001F64E8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Kryterium weryfikowane na podstawie treści wniosku o dofinansowanie</w:t>
            </w:r>
          </w:p>
        </w:tc>
      </w:tr>
      <w:tr w:rsidR="00293FB1" w:rsidRPr="001F64E8" w14:paraId="1E061AE9" w14:textId="77777777" w:rsidTr="003F4D9B">
        <w:tc>
          <w:tcPr>
            <w:tcW w:w="988" w:type="dxa"/>
            <w:shd w:val="clear" w:color="auto" w:fill="D5DCE4"/>
            <w:vAlign w:val="center"/>
          </w:tcPr>
          <w:p w14:paraId="17E28D5B" w14:textId="77777777" w:rsidR="00293FB1" w:rsidRPr="001F64E8" w:rsidRDefault="00293FB1" w:rsidP="003F4D9B">
            <w:pPr>
              <w:pStyle w:val="Standard"/>
              <w:numPr>
                <w:ilvl w:val="0"/>
                <w:numId w:val="7"/>
              </w:numPr>
              <w:spacing w:line="252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765" w:type="dxa"/>
            <w:shd w:val="clear" w:color="auto" w:fill="auto"/>
            <w:vAlign w:val="center"/>
          </w:tcPr>
          <w:p w14:paraId="11B574DA" w14:textId="42033952" w:rsidR="00293FB1" w:rsidRPr="00065E27" w:rsidRDefault="00293FB1" w:rsidP="00293FB1">
            <w:pPr>
              <w:pStyle w:val="Standard"/>
              <w:tabs>
                <w:tab w:val="left" w:pos="3120"/>
              </w:tabs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Liczba partnerstw </w:t>
            </w:r>
            <w:r w:rsidR="00065E27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br/>
            </w: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 xml:space="preserve">Ocenie podlegać będzie liczba utworzonych partnerstw-publiczno-społecznych. </w:t>
            </w:r>
          </w:p>
          <w:p w14:paraId="7950818B" w14:textId="77777777" w:rsidR="00293FB1" w:rsidRPr="006D741E" w:rsidRDefault="00293FB1" w:rsidP="003F4D9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hAnsiTheme="minorHAnsi" w:cstheme="minorHAnsi"/>
                <w:sz w:val="20"/>
                <w:szCs w:val="20"/>
              </w:rPr>
              <w:t>Przez partnerstwo publiczno-społeczne rozumie się formę współpracy, w której integracja dotyczy przede wszystkim instytucji sektora publicznego, czyli jednostek samorządu terytorialnego, szkół, centrów pomocy społecznej, a także sektora społecznego, czyli instytucji tzw. trzeciego sektora. Są to głównie przedsięwzięcia prorozwojowe, w których łączone są kompetencje i zasoby, kształtują się normy i zasady wspólnego działania. Często określane jako partnerstwa lokalne, co w prostym ujęciu oznacza współpracę podmiotów lokalnej społeczności na rzecz dobra wspólnego.</w:t>
            </w:r>
          </w:p>
        </w:tc>
        <w:tc>
          <w:tcPr>
            <w:tcW w:w="5102" w:type="dxa"/>
            <w:shd w:val="clear" w:color="auto" w:fill="auto"/>
          </w:tcPr>
          <w:p w14:paraId="2086B419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sz w:val="20"/>
                <w:szCs w:val="20"/>
              </w:rPr>
              <w:t>0 pkt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C3460E">
              <w:rPr>
                <w:rFonts w:asciiTheme="minorHAnsi" w:eastAsia="Calibri" w:hAnsiTheme="minorHAnsi" w:cstheme="minorHAnsi"/>
                <w:sz w:val="20"/>
                <w:szCs w:val="20"/>
              </w:rPr>
              <w:t>- brak utworzenia partnerstw</w:t>
            </w:r>
          </w:p>
          <w:p w14:paraId="6AB7EDA2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5 pkt – utworzenie 1 partnerstwa </w:t>
            </w:r>
          </w:p>
          <w:p w14:paraId="2D2455CA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5FBFC79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F11A2D9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2A12019" w14:textId="77777777" w:rsidR="00293FB1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A591A93" w14:textId="77777777" w:rsidR="00293FB1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775D5BC8" w14:textId="77777777" w:rsidR="00293FB1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5396F474" w14:textId="77777777" w:rsidR="00293FB1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12CD616" w14:textId="77777777" w:rsidR="00293FB1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01E02EE" w14:textId="77777777" w:rsidR="00293FB1" w:rsidRPr="00C3460E" w:rsidRDefault="00293FB1" w:rsidP="003F4D9B">
            <w:pPr>
              <w:pStyle w:val="Standard"/>
              <w:tabs>
                <w:tab w:val="left" w:pos="3120"/>
              </w:tabs>
              <w:spacing w:after="0" w:line="24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A631E61" w14:textId="77777777" w:rsidR="00293FB1" w:rsidRPr="00C3460E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C3460E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5 punktów</w:t>
            </w:r>
          </w:p>
        </w:tc>
        <w:tc>
          <w:tcPr>
            <w:tcW w:w="3166" w:type="dxa"/>
            <w:shd w:val="clear" w:color="auto" w:fill="auto"/>
          </w:tcPr>
          <w:p w14:paraId="779158BC" w14:textId="77777777" w:rsidR="00293FB1" w:rsidRPr="001F64E8" w:rsidRDefault="00293FB1" w:rsidP="003F4D9B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</w:t>
            </w:r>
          </w:p>
        </w:tc>
      </w:tr>
      <w:tr w:rsidR="00293FB1" w:rsidRPr="00321941" w14:paraId="1EEDFBEA" w14:textId="77777777" w:rsidTr="003F4D9B">
        <w:tc>
          <w:tcPr>
            <w:tcW w:w="988" w:type="dxa"/>
            <w:shd w:val="clear" w:color="auto" w:fill="auto"/>
          </w:tcPr>
          <w:p w14:paraId="6B4324CC" w14:textId="77777777" w:rsidR="00293FB1" w:rsidRPr="00321941" w:rsidRDefault="00293FB1" w:rsidP="003F4D9B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Razem</w:t>
            </w:r>
          </w:p>
        </w:tc>
        <w:tc>
          <w:tcPr>
            <w:tcW w:w="14033" w:type="dxa"/>
            <w:gridSpan w:val="3"/>
            <w:shd w:val="clear" w:color="auto" w:fill="auto"/>
          </w:tcPr>
          <w:p w14:paraId="09E7A33E" w14:textId="77777777" w:rsidR="00293FB1" w:rsidRPr="00B43776" w:rsidRDefault="00293FB1" w:rsidP="003F4D9B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B43776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64 punktów,</w:t>
            </w:r>
          </w:p>
          <w:p w14:paraId="166E4230" w14:textId="77777777" w:rsidR="00293FB1" w:rsidRPr="00321941" w:rsidRDefault="00293FB1" w:rsidP="003F4D9B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43776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Wymagane minimum: 33 punktów</w:t>
            </w:r>
          </w:p>
        </w:tc>
      </w:tr>
    </w:tbl>
    <w:p w14:paraId="62EDDC3B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44B70A1" w14:textId="77777777" w:rsidR="006648B8" w:rsidRDefault="006648B8" w:rsidP="00FA357B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7210832" w14:textId="3C35BAC8" w:rsidR="00FA357B" w:rsidRPr="00321941" w:rsidRDefault="006648B8" w:rsidP="00FA357B">
      <w:pPr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P</w:t>
      </w:r>
      <w:r w:rsidR="00FA357B" w:rsidRPr="00321941">
        <w:rPr>
          <w:rFonts w:asciiTheme="minorHAnsi" w:eastAsia="Times New Roman" w:hAnsiTheme="minorHAnsi" w:cstheme="minorHAnsi"/>
          <w:b/>
          <w:sz w:val="22"/>
          <w:szCs w:val="22"/>
        </w:rPr>
        <w:t>rocedura zmiany kryteriów oceny i wyboru projektów grantowych.</w:t>
      </w:r>
    </w:p>
    <w:p w14:paraId="1944143F" w14:textId="77777777" w:rsidR="00FA357B" w:rsidRPr="00321941" w:rsidRDefault="00FA357B" w:rsidP="00FA357B">
      <w:pPr>
        <w:tabs>
          <w:tab w:val="left" w:pos="709"/>
        </w:tabs>
        <w:overflowPunct w:val="0"/>
        <w:contextualSpacing/>
        <w:jc w:val="both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</w:p>
    <w:p w14:paraId="63C9838F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Kryteria wyboru operacji odnoszą się bezpośrednio do określonych wskaźników produktu  i rezultatu. Kryteria wyboru operacji powstały w ramach procesu partycypacyjnego – zostały opracowane i poddane konsultacjom.  Kryteria wyboru operacji przyjmowane są przez Walne Zebranie Członków.</w:t>
      </w:r>
    </w:p>
    <w:p w14:paraId="44C8FA83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Zmiany kryteriów dokonuje się:</w:t>
      </w:r>
    </w:p>
    <w:p w14:paraId="6D3F4D34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na wniosek Rady LGD,</w:t>
      </w:r>
    </w:p>
    <w:p w14:paraId="3081A706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na wniosek członków Stowarzyszenia,</w:t>
      </w:r>
    </w:p>
    <w:p w14:paraId="78F150A4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na wniosek Zarządu LGD</w:t>
      </w:r>
    </w:p>
    <w:p w14:paraId="5CAF9E02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lastRenderedPageBreak/>
        <w:t xml:space="preserve">na podstawie wezwań Samorządu Województwa.  </w:t>
      </w:r>
    </w:p>
    <w:p w14:paraId="584DAB6F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Konieczność zmian w kryteriach może być spowodowana:</w:t>
      </w:r>
    </w:p>
    <w:p w14:paraId="36B6B311" w14:textId="77777777" w:rsidR="00FA357B" w:rsidRPr="00321941" w:rsidRDefault="00FA357B" w:rsidP="00FA357B">
      <w:pPr>
        <w:widowControl/>
        <w:numPr>
          <w:ilvl w:val="0"/>
          <w:numId w:val="3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zmianą warunków społeczno-gospodarczych obszaru objętego LSR, a tym samym analizy SWOT do której  kryteria są adekwatne,</w:t>
      </w:r>
    </w:p>
    <w:p w14:paraId="1A0062AD" w14:textId="77777777" w:rsidR="00FA357B" w:rsidRPr="00321941" w:rsidRDefault="00FA357B" w:rsidP="00FA357B">
      <w:pPr>
        <w:widowControl/>
        <w:numPr>
          <w:ilvl w:val="0"/>
          <w:numId w:val="3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trudnościami w procesie wyboru projektów grantowych i zgłoszonymi przez członków Rady lub Zarząd LGD (na podstawie obserwowanych trudności w procesie wyboru operacji).  </w:t>
      </w:r>
    </w:p>
    <w:p w14:paraId="1BD655F9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Wniosek o dokonanie zmian należy złożyć na piśmie do Biura LGD i/lub wprowadzić do protokołu z posiedzeń Zarządu i/lub Rady. Wniosek musi zawierać min:</w:t>
      </w:r>
    </w:p>
    <w:p w14:paraId="08AD041B" w14:textId="77777777" w:rsidR="00FA357B" w:rsidRPr="00321941" w:rsidRDefault="00FA357B" w:rsidP="00FA357B">
      <w:pPr>
        <w:widowControl/>
        <w:numPr>
          <w:ilvl w:val="0"/>
          <w:numId w:val="4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uzasadnienie proponowanych zmian, </w:t>
      </w:r>
    </w:p>
    <w:p w14:paraId="708340B2" w14:textId="77777777" w:rsidR="00FA357B" w:rsidRPr="00321941" w:rsidRDefault="00FA357B" w:rsidP="00FA357B">
      <w:pPr>
        <w:widowControl/>
        <w:numPr>
          <w:ilvl w:val="0"/>
          <w:numId w:val="4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określenie powiązania z diagnozą obszaru LSR, </w:t>
      </w:r>
    </w:p>
    <w:p w14:paraId="7655D20A" w14:textId="77777777" w:rsidR="00FA357B" w:rsidRPr="00321941" w:rsidRDefault="00FA357B" w:rsidP="00FA357B">
      <w:pPr>
        <w:widowControl/>
        <w:numPr>
          <w:ilvl w:val="0"/>
          <w:numId w:val="4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określenie wpływu na osiągnięcie zaplanowanych w LSR wskaźników produktu, rezultatu i oddziaływania.  </w:t>
      </w:r>
    </w:p>
    <w:p w14:paraId="5567C0B1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Do wniosku należy obowiązkowo załączyć propozycje kryteriów, które:</w:t>
      </w:r>
    </w:p>
    <w:p w14:paraId="08583845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posiadają metodologię wyliczania,</w:t>
      </w:r>
    </w:p>
    <w:p w14:paraId="3B736D1C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są mierzalne albo zawierają szczegółowy opis wyjaśniający sposób oceny wskazujący wymagania konieczne do spełnienia danego kryterium, niebudzące wątpliwości interpretacyjnych, </w:t>
      </w:r>
    </w:p>
    <w:p w14:paraId="562D8DEF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posiadają dodatkowe opisy, definicje oraz sposób przyznawania wag nie budzi wątpliwości; </w:t>
      </w:r>
    </w:p>
    <w:p w14:paraId="2CAADD98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uzasadnienie każdego proponowanego kryterium.  </w:t>
      </w:r>
    </w:p>
    <w:p w14:paraId="3203ECE8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Zarząd nie później niż w ciągu 2 tygodni od otrzymania wniosku powołuje zespół partycypacyjny, który zajmie się opracowaniem zmian w kryteriach wyboru operacji. W skład zespołu wchodzi przewodniczący Rady lub osoba przez niego wytypowana.</w:t>
      </w:r>
    </w:p>
    <w:p w14:paraId="5BA44E35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W ciągu 14 dni od zgłoszenia propozycji zmian Zarząd podda propozycję pod konsultacje społeczne na stronie internetowej LGD. </w:t>
      </w:r>
    </w:p>
    <w:p w14:paraId="49591D7F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Propozycje nowych kryteriów opracowanych przez zespół partycypacyjny w porozumieniu z Zarządem i Radą  zostaną zgłoszone przez Zarząd Samorządowi Województwa (SW) odpowiedzialnemu za wdrażanie instrumentu RLKS.</w:t>
      </w:r>
    </w:p>
    <w:p w14:paraId="35F265F7" w14:textId="15F3A1AC" w:rsidR="008971FE" w:rsidRPr="006648B8" w:rsidRDefault="00FA357B" w:rsidP="006648B8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Po uzyskaniu akceptacji przez Samorząd Województwa Zarząd rekomenduje WZC zmianę. WZC podejmuje uchwałę o zmianie kryteriów. </w:t>
      </w:r>
    </w:p>
    <w:p w14:paraId="2F3E976A" w14:textId="77777777" w:rsidR="008971FE" w:rsidRDefault="008971FE" w:rsidP="008971FE">
      <w:pPr>
        <w:widowControl/>
        <w:tabs>
          <w:tab w:val="left" w:pos="709"/>
        </w:tabs>
        <w:overflowPunct w:val="0"/>
        <w:autoSpaceDN/>
        <w:spacing w:line="276" w:lineRule="auto"/>
        <w:ind w:left="767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0F437974" w14:textId="77777777" w:rsidR="00825200" w:rsidRPr="008971FE" w:rsidRDefault="007E0E8F" w:rsidP="008971FE">
      <w:pPr>
        <w:widowControl/>
        <w:tabs>
          <w:tab w:val="left" w:pos="709"/>
        </w:tabs>
        <w:overflowPunct w:val="0"/>
        <w:autoSpaceDN/>
        <w:spacing w:line="276" w:lineRule="auto"/>
        <w:ind w:left="767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8971FE">
        <w:rPr>
          <w:rFonts w:asciiTheme="minorHAnsi" w:hAnsiTheme="minorHAnsi" w:cstheme="minorHAnsi"/>
          <w:sz w:val="22"/>
          <w:szCs w:val="22"/>
        </w:rPr>
        <w:t>Chełmno, dnia……………………….</w:t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="008971FE">
        <w:rPr>
          <w:rFonts w:asciiTheme="minorHAnsi" w:hAnsiTheme="minorHAnsi" w:cstheme="minorHAnsi"/>
          <w:sz w:val="22"/>
          <w:szCs w:val="22"/>
        </w:rPr>
        <w:t xml:space="preserve">        </w:t>
      </w:r>
      <w:r w:rsidRPr="008971FE">
        <w:rPr>
          <w:rFonts w:asciiTheme="minorHAnsi" w:hAnsiTheme="minorHAnsi" w:cstheme="minorHAnsi"/>
          <w:sz w:val="22"/>
          <w:szCs w:val="22"/>
        </w:rPr>
        <w:t>……………………………………………………..</w:t>
      </w:r>
    </w:p>
    <w:p w14:paraId="2A97169B" w14:textId="77777777" w:rsidR="007E0E8F" w:rsidRPr="008971FE" w:rsidRDefault="007E0E8F" w:rsidP="00825200">
      <w:pPr>
        <w:ind w:left="10620"/>
        <w:jc w:val="both"/>
        <w:rPr>
          <w:rFonts w:asciiTheme="minorHAnsi" w:hAnsiTheme="minorHAnsi" w:cstheme="minorHAnsi"/>
          <w:sz w:val="22"/>
          <w:szCs w:val="22"/>
        </w:rPr>
      </w:pPr>
      <w:r w:rsidRPr="008971FE">
        <w:rPr>
          <w:rFonts w:asciiTheme="minorHAnsi" w:hAnsiTheme="minorHAnsi" w:cstheme="minorHAnsi"/>
          <w:sz w:val="22"/>
          <w:szCs w:val="22"/>
        </w:rPr>
        <w:t>Podpisy osób reprezentujących</w:t>
      </w:r>
      <w:bookmarkEnd w:id="0"/>
    </w:p>
    <w:sectPr w:rsidR="007E0E8F" w:rsidRPr="008971FE" w:rsidSect="00FA3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AB9B" w14:textId="77777777" w:rsidR="00023E46" w:rsidRDefault="00023E46" w:rsidP="00FA357B">
      <w:r>
        <w:separator/>
      </w:r>
    </w:p>
  </w:endnote>
  <w:endnote w:type="continuationSeparator" w:id="0">
    <w:p w14:paraId="23432EA2" w14:textId="77777777" w:rsidR="00023E46" w:rsidRDefault="00023E46" w:rsidP="00FA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3E4E" w14:textId="77777777" w:rsidR="00E76DE1" w:rsidRDefault="00E76D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1C7D" w14:textId="77777777" w:rsidR="00E76DE1" w:rsidRDefault="00E76D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0B94" w14:textId="77777777" w:rsidR="00E76DE1" w:rsidRDefault="00E76D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F92C" w14:textId="77777777" w:rsidR="00023E46" w:rsidRDefault="00023E46" w:rsidP="00FA357B">
      <w:r>
        <w:separator/>
      </w:r>
    </w:p>
  </w:footnote>
  <w:footnote w:type="continuationSeparator" w:id="0">
    <w:p w14:paraId="39565A93" w14:textId="77777777" w:rsidR="00023E46" w:rsidRDefault="00023E46" w:rsidP="00FA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78A0" w14:textId="77777777" w:rsidR="00E76DE1" w:rsidRDefault="00E76DE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D25A" w14:textId="77777777" w:rsidR="00FA357B" w:rsidRDefault="00E76DE1" w:rsidP="00FA357B">
    <w:pPr>
      <w:pStyle w:val="Nagwek"/>
      <w:jc w:val="center"/>
    </w:pPr>
    <w:r>
      <w:rPr>
        <w:noProof/>
        <w:lang w:eastAsia="pl-PL" w:bidi="ar-SA"/>
      </w:rPr>
      <w:drawing>
        <wp:inline distT="0" distB="0" distL="0" distR="0" wp14:anchorId="37876D61" wp14:editId="617C05F7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7FB8" w14:textId="77777777" w:rsidR="00E76DE1" w:rsidRDefault="00E76DE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FF0"/>
    <w:multiLevelType w:val="hybridMultilevel"/>
    <w:tmpl w:val="A260BF36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F57DB2"/>
    <w:multiLevelType w:val="hybridMultilevel"/>
    <w:tmpl w:val="C9E61A7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F177C0"/>
    <w:multiLevelType w:val="hybridMultilevel"/>
    <w:tmpl w:val="8F427C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061C"/>
    <w:multiLevelType w:val="hybridMultilevel"/>
    <w:tmpl w:val="44F25D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A4C26"/>
    <w:multiLevelType w:val="hybridMultilevel"/>
    <w:tmpl w:val="255476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A3055"/>
    <w:multiLevelType w:val="hybridMultilevel"/>
    <w:tmpl w:val="DC867A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A1305"/>
    <w:multiLevelType w:val="hybridMultilevel"/>
    <w:tmpl w:val="A7805D82"/>
    <w:lvl w:ilvl="0" w:tplc="0415000F">
      <w:start w:val="1"/>
      <w:numFmt w:val="decimal"/>
      <w:lvlText w:val="%1."/>
      <w:lvlJc w:val="left"/>
      <w:pPr>
        <w:ind w:left="767" w:hanging="360"/>
      </w:pPr>
    </w:lvl>
    <w:lvl w:ilvl="1" w:tplc="04150017">
      <w:start w:val="1"/>
      <w:numFmt w:val="lowerLetter"/>
      <w:lvlText w:val="%2)"/>
      <w:lvlJc w:val="left"/>
      <w:pPr>
        <w:ind w:left="1487" w:hanging="360"/>
      </w:pPr>
    </w:lvl>
    <w:lvl w:ilvl="2" w:tplc="0415001B" w:tentative="1">
      <w:start w:val="1"/>
      <w:numFmt w:val="lowerRoman"/>
      <w:lvlText w:val="%3."/>
      <w:lvlJc w:val="right"/>
      <w:pPr>
        <w:ind w:left="2207" w:hanging="180"/>
      </w:pPr>
    </w:lvl>
    <w:lvl w:ilvl="3" w:tplc="0415000F" w:tentative="1">
      <w:start w:val="1"/>
      <w:numFmt w:val="decimal"/>
      <w:lvlText w:val="%4."/>
      <w:lvlJc w:val="left"/>
      <w:pPr>
        <w:ind w:left="2927" w:hanging="360"/>
      </w:pPr>
    </w:lvl>
    <w:lvl w:ilvl="4" w:tplc="04150019" w:tentative="1">
      <w:start w:val="1"/>
      <w:numFmt w:val="lowerLetter"/>
      <w:lvlText w:val="%5."/>
      <w:lvlJc w:val="left"/>
      <w:pPr>
        <w:ind w:left="3647" w:hanging="360"/>
      </w:pPr>
    </w:lvl>
    <w:lvl w:ilvl="5" w:tplc="0415001B" w:tentative="1">
      <w:start w:val="1"/>
      <w:numFmt w:val="lowerRoman"/>
      <w:lvlText w:val="%6."/>
      <w:lvlJc w:val="right"/>
      <w:pPr>
        <w:ind w:left="4367" w:hanging="180"/>
      </w:pPr>
    </w:lvl>
    <w:lvl w:ilvl="6" w:tplc="0415000F" w:tentative="1">
      <w:start w:val="1"/>
      <w:numFmt w:val="decimal"/>
      <w:lvlText w:val="%7."/>
      <w:lvlJc w:val="left"/>
      <w:pPr>
        <w:ind w:left="5087" w:hanging="360"/>
      </w:pPr>
    </w:lvl>
    <w:lvl w:ilvl="7" w:tplc="04150019" w:tentative="1">
      <w:start w:val="1"/>
      <w:numFmt w:val="lowerLetter"/>
      <w:lvlText w:val="%8."/>
      <w:lvlJc w:val="left"/>
      <w:pPr>
        <w:ind w:left="5807" w:hanging="360"/>
      </w:pPr>
    </w:lvl>
    <w:lvl w:ilvl="8" w:tplc="0415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5C655FDE"/>
    <w:multiLevelType w:val="hybridMultilevel"/>
    <w:tmpl w:val="4A52A39A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AF5A59"/>
    <w:multiLevelType w:val="hybridMultilevel"/>
    <w:tmpl w:val="5E46380A"/>
    <w:lvl w:ilvl="0" w:tplc="BD60B7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7B"/>
    <w:rsid w:val="00007082"/>
    <w:rsid w:val="00014C54"/>
    <w:rsid w:val="00023E46"/>
    <w:rsid w:val="00060B24"/>
    <w:rsid w:val="00065E27"/>
    <w:rsid w:val="000A6F8C"/>
    <w:rsid w:val="000C3811"/>
    <w:rsid w:val="000D5B7C"/>
    <w:rsid w:val="000E7A43"/>
    <w:rsid w:val="000E7F65"/>
    <w:rsid w:val="001018CF"/>
    <w:rsid w:val="00112E60"/>
    <w:rsid w:val="001368A6"/>
    <w:rsid w:val="001B7FEF"/>
    <w:rsid w:val="001F6213"/>
    <w:rsid w:val="001F64E8"/>
    <w:rsid w:val="002122CD"/>
    <w:rsid w:val="00241C6C"/>
    <w:rsid w:val="002574EA"/>
    <w:rsid w:val="00263DB2"/>
    <w:rsid w:val="00267061"/>
    <w:rsid w:val="00293FB1"/>
    <w:rsid w:val="002C004A"/>
    <w:rsid w:val="00312245"/>
    <w:rsid w:val="00321941"/>
    <w:rsid w:val="00356C56"/>
    <w:rsid w:val="003A3E94"/>
    <w:rsid w:val="003C0898"/>
    <w:rsid w:val="003D31BF"/>
    <w:rsid w:val="003F1C6D"/>
    <w:rsid w:val="003F77D0"/>
    <w:rsid w:val="003F78D2"/>
    <w:rsid w:val="00453AD4"/>
    <w:rsid w:val="00482D24"/>
    <w:rsid w:val="004867E8"/>
    <w:rsid w:val="004957AF"/>
    <w:rsid w:val="004F564A"/>
    <w:rsid w:val="005509E2"/>
    <w:rsid w:val="00560BD7"/>
    <w:rsid w:val="005B40F7"/>
    <w:rsid w:val="005B4686"/>
    <w:rsid w:val="005D551E"/>
    <w:rsid w:val="00602EE2"/>
    <w:rsid w:val="00633463"/>
    <w:rsid w:val="006354C5"/>
    <w:rsid w:val="006422AD"/>
    <w:rsid w:val="006424DF"/>
    <w:rsid w:val="006648B8"/>
    <w:rsid w:val="00677D7E"/>
    <w:rsid w:val="00682BDD"/>
    <w:rsid w:val="006B2254"/>
    <w:rsid w:val="006C121F"/>
    <w:rsid w:val="006C1F6D"/>
    <w:rsid w:val="006D741E"/>
    <w:rsid w:val="006E329F"/>
    <w:rsid w:val="006F1506"/>
    <w:rsid w:val="00721E7D"/>
    <w:rsid w:val="00722A68"/>
    <w:rsid w:val="00755479"/>
    <w:rsid w:val="00797C57"/>
    <w:rsid w:val="007E0E8F"/>
    <w:rsid w:val="007F47F1"/>
    <w:rsid w:val="00802300"/>
    <w:rsid w:val="00825200"/>
    <w:rsid w:val="00835BCB"/>
    <w:rsid w:val="008971FE"/>
    <w:rsid w:val="008B2A2C"/>
    <w:rsid w:val="008B466F"/>
    <w:rsid w:val="008E6532"/>
    <w:rsid w:val="0091679C"/>
    <w:rsid w:val="00956597"/>
    <w:rsid w:val="00957962"/>
    <w:rsid w:val="00974A97"/>
    <w:rsid w:val="00991AAB"/>
    <w:rsid w:val="009D0303"/>
    <w:rsid w:val="009D717F"/>
    <w:rsid w:val="00A113CF"/>
    <w:rsid w:val="00A1648D"/>
    <w:rsid w:val="00A5390B"/>
    <w:rsid w:val="00A824A8"/>
    <w:rsid w:val="00AB46FA"/>
    <w:rsid w:val="00AC2670"/>
    <w:rsid w:val="00B27ED7"/>
    <w:rsid w:val="00B43776"/>
    <w:rsid w:val="00B87C46"/>
    <w:rsid w:val="00B96628"/>
    <w:rsid w:val="00C3460E"/>
    <w:rsid w:val="00C92874"/>
    <w:rsid w:val="00C95C06"/>
    <w:rsid w:val="00CA7193"/>
    <w:rsid w:val="00CB000E"/>
    <w:rsid w:val="00D158CE"/>
    <w:rsid w:val="00D462C6"/>
    <w:rsid w:val="00D5210B"/>
    <w:rsid w:val="00D97D99"/>
    <w:rsid w:val="00DA6AFF"/>
    <w:rsid w:val="00DD3238"/>
    <w:rsid w:val="00E02C3F"/>
    <w:rsid w:val="00E1643B"/>
    <w:rsid w:val="00E36BBA"/>
    <w:rsid w:val="00E40A26"/>
    <w:rsid w:val="00E66CFA"/>
    <w:rsid w:val="00E76DE1"/>
    <w:rsid w:val="00E81195"/>
    <w:rsid w:val="00E93CCC"/>
    <w:rsid w:val="00E96E42"/>
    <w:rsid w:val="00EC42C9"/>
    <w:rsid w:val="00ED0DF4"/>
    <w:rsid w:val="00EE239C"/>
    <w:rsid w:val="00F7222E"/>
    <w:rsid w:val="00F80026"/>
    <w:rsid w:val="00F859A8"/>
    <w:rsid w:val="00F90175"/>
    <w:rsid w:val="00FA252A"/>
    <w:rsid w:val="00FA357B"/>
    <w:rsid w:val="00FC1211"/>
    <w:rsid w:val="00FD51CA"/>
    <w:rsid w:val="00FD544A"/>
    <w:rsid w:val="00FE35E1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DCBDD"/>
  <w15:docId w15:val="{7D03FC46-76C0-46CC-875F-B46C81FD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FA35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FA357B"/>
    <w:pPr>
      <w:tabs>
        <w:tab w:val="left" w:pos="708"/>
      </w:tabs>
      <w:suppressAutoHyphens/>
      <w:spacing w:line="252" w:lineRule="auto"/>
    </w:pPr>
    <w:rPr>
      <w:rFonts w:ascii="Calibri" w:eastAsia="Calibri" w:hAnsi="Calibri" w:cs="Times New Roman"/>
      <w:color w:val="00000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A357B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FA357B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FA357B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FA357B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09E2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09E2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customStyle="1" w:styleId="Standard">
    <w:name w:val="Standard"/>
    <w:rsid w:val="00FD51CA"/>
    <w:pPr>
      <w:suppressAutoHyphens/>
      <w:spacing w:line="254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Akapitzlist">
    <w:name w:val="List Paragraph"/>
    <w:basedOn w:val="Normalny"/>
    <w:uiPriority w:val="34"/>
    <w:qFormat/>
    <w:rsid w:val="00FD51CA"/>
    <w:pPr>
      <w:ind w:left="720"/>
      <w:contextualSpacing/>
    </w:pPr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1648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1648D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1648D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648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648D"/>
    <w:rPr>
      <w:rFonts w:ascii="Liberation Serif" w:eastAsia="SimSun" w:hAnsi="Liberation Serif" w:cs="Mangal"/>
      <w:b/>
      <w:bCs/>
      <w:kern w:val="3"/>
      <w:sz w:val="20"/>
      <w:szCs w:val="18"/>
      <w:lang w:eastAsia="zh-CN" w:bidi="hi-IN"/>
    </w:rPr>
  </w:style>
  <w:style w:type="paragraph" w:styleId="Poprawka">
    <w:name w:val="Revision"/>
    <w:hidden/>
    <w:uiPriority w:val="99"/>
    <w:semiHidden/>
    <w:rsid w:val="003D31BF"/>
    <w:pPr>
      <w:spacing w:after="0" w:line="240" w:lineRule="auto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47A2A-E538-4048-B8AA-23DACC8B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1787</Words>
  <Characters>10723</Characters>
  <Application>Microsoft Office Word</Application>
  <DocSecurity>0</DocSecurity>
  <Lines>89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21</cp:revision>
  <cp:lastPrinted>2019-11-21T12:29:00Z</cp:lastPrinted>
  <dcterms:created xsi:type="dcterms:W3CDTF">2019-11-19T12:34:00Z</dcterms:created>
  <dcterms:modified xsi:type="dcterms:W3CDTF">2021-06-16T10:06:00Z</dcterms:modified>
</cp:coreProperties>
</file>