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921A" w14:textId="26D4BD8B" w:rsidR="00C447C5" w:rsidRDefault="005E45D0" w:rsidP="00C447C5">
      <w:pPr>
        <w:spacing w:line="0" w:lineRule="atLeast"/>
        <w:ind w:right="40"/>
        <w:jc w:val="right"/>
        <w:rPr>
          <w:rFonts w:asciiTheme="minorHAnsi" w:hAnsiTheme="minorHAnsi" w:cstheme="minorHAnsi"/>
          <w:bCs/>
          <w:i/>
          <w:iCs/>
          <w:noProof w:val="0"/>
          <w:kern w:val="0"/>
          <w:sz w:val="20"/>
          <w:szCs w:val="20"/>
          <w:lang w:eastAsia="pl-PL" w:bidi="ar-SA"/>
        </w:rPr>
      </w:pPr>
      <w:r w:rsidRPr="006053B3">
        <w:rPr>
          <w:rFonts w:asciiTheme="minorHAnsi" w:hAnsiTheme="minorHAnsi" w:cstheme="minorHAnsi"/>
          <w:sz w:val="20"/>
          <w:szCs w:val="20"/>
        </w:rPr>
        <w:tab/>
      </w:r>
      <w:r w:rsidRPr="006053B3">
        <w:rPr>
          <w:rFonts w:asciiTheme="minorHAnsi" w:hAnsiTheme="minorHAnsi" w:cstheme="minorHAnsi"/>
          <w:sz w:val="20"/>
          <w:szCs w:val="20"/>
        </w:rPr>
        <w:tab/>
      </w:r>
      <w:r w:rsidRPr="006053B3">
        <w:rPr>
          <w:rFonts w:asciiTheme="minorHAnsi" w:hAnsiTheme="minorHAnsi" w:cstheme="minorHAnsi"/>
          <w:sz w:val="20"/>
          <w:szCs w:val="20"/>
        </w:rPr>
        <w:tab/>
      </w:r>
      <w:r w:rsidRPr="006053B3">
        <w:rPr>
          <w:rFonts w:asciiTheme="minorHAnsi" w:hAnsiTheme="minorHAnsi" w:cstheme="minorHAnsi"/>
          <w:sz w:val="20"/>
          <w:szCs w:val="20"/>
        </w:rPr>
        <w:tab/>
      </w:r>
      <w:r w:rsidR="00C447C5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Załącznik nr 7 do Ogłoszenia o naborze </w:t>
      </w:r>
      <w:r w:rsidR="00C447C5" w:rsidRPr="00FD5702">
        <w:rPr>
          <w:rFonts w:asciiTheme="minorHAnsi" w:hAnsiTheme="minorHAnsi" w:cstheme="minorHAnsi"/>
          <w:bCs/>
          <w:i/>
          <w:iCs/>
          <w:sz w:val="20"/>
          <w:szCs w:val="20"/>
        </w:rPr>
        <w:t>20</w:t>
      </w:r>
      <w:r w:rsidR="00FD5702" w:rsidRPr="00FD5702">
        <w:rPr>
          <w:rFonts w:asciiTheme="minorHAnsi" w:hAnsiTheme="minorHAnsi" w:cstheme="minorHAnsi"/>
          <w:bCs/>
          <w:i/>
          <w:iCs/>
          <w:sz w:val="20"/>
          <w:szCs w:val="20"/>
        </w:rPr>
        <w:t>2</w:t>
      </w:r>
      <w:r w:rsidR="00545EA4">
        <w:rPr>
          <w:rFonts w:asciiTheme="minorHAnsi" w:hAnsiTheme="minorHAnsi" w:cstheme="minorHAnsi"/>
          <w:bCs/>
          <w:i/>
          <w:iCs/>
          <w:sz w:val="20"/>
          <w:szCs w:val="20"/>
        </w:rPr>
        <w:t>1</w:t>
      </w:r>
      <w:r w:rsidR="00C447C5" w:rsidRPr="00FD5702">
        <w:rPr>
          <w:rFonts w:asciiTheme="minorHAnsi" w:hAnsiTheme="minorHAnsi" w:cstheme="minorHAnsi"/>
          <w:bCs/>
          <w:i/>
          <w:iCs/>
          <w:sz w:val="20"/>
          <w:szCs w:val="20"/>
        </w:rPr>
        <w:t>/G/1</w:t>
      </w:r>
      <w:r w:rsidR="00A95AE1">
        <w:rPr>
          <w:rFonts w:asciiTheme="minorHAnsi" w:hAnsiTheme="minorHAnsi" w:cstheme="minorHAnsi"/>
          <w:bCs/>
          <w:i/>
          <w:iCs/>
          <w:sz w:val="20"/>
          <w:szCs w:val="20"/>
        </w:rPr>
        <w:t>E</w:t>
      </w:r>
    </w:p>
    <w:p w14:paraId="6AC2D62B" w14:textId="77777777" w:rsidR="00D525A9" w:rsidRPr="006053B3" w:rsidRDefault="00D525A9" w:rsidP="00D525A9">
      <w:pPr>
        <w:tabs>
          <w:tab w:val="left" w:pos="4125"/>
        </w:tabs>
        <w:jc w:val="center"/>
        <w:rPr>
          <w:rFonts w:ascii="Calibri" w:hAnsi="Calibri"/>
          <w:b/>
          <w:sz w:val="22"/>
          <w:szCs w:val="22"/>
        </w:rPr>
      </w:pPr>
    </w:p>
    <w:p w14:paraId="4F9F30F2" w14:textId="77777777" w:rsidR="00D525A9" w:rsidRPr="006053B3" w:rsidRDefault="00D525A9" w:rsidP="00D525A9">
      <w:pPr>
        <w:pStyle w:val="Standard"/>
        <w:rPr>
          <w:rFonts w:ascii="Calibri" w:hAnsi="Calibri"/>
          <w:b/>
          <w:sz w:val="22"/>
          <w:szCs w:val="22"/>
          <w:lang w:val="pl-PL"/>
        </w:rPr>
      </w:pPr>
    </w:p>
    <w:p w14:paraId="2925A163" w14:textId="77777777" w:rsidR="001B33B1" w:rsidRPr="006053B3" w:rsidRDefault="001B33B1" w:rsidP="00D525A9">
      <w:pPr>
        <w:pStyle w:val="Standard"/>
        <w:rPr>
          <w:rFonts w:ascii="Calibri" w:eastAsia="Calibri, Calibri" w:hAnsi="Calibri" w:cs="Calibri, Calibri"/>
          <w:color w:val="000000"/>
          <w:sz w:val="20"/>
          <w:szCs w:val="20"/>
          <w:lang w:val="pl-PL"/>
        </w:rPr>
      </w:pPr>
      <w:r w:rsidRPr="006053B3">
        <w:rPr>
          <w:rFonts w:ascii="Calibri" w:eastAsia="Calibri, Calibri" w:hAnsi="Calibri" w:cs="Calibri, Calibri"/>
          <w:b/>
          <w:color w:val="000000"/>
          <w:sz w:val="22"/>
          <w:szCs w:val="22"/>
          <w:lang w:val="pl-PL"/>
        </w:rPr>
        <w:t>KATALOG MAKSYMALNYCH</w:t>
      </w:r>
      <w:r w:rsidR="0077329B" w:rsidRPr="006053B3">
        <w:rPr>
          <w:rFonts w:ascii="Calibri" w:eastAsia="Calibri, Calibri" w:hAnsi="Calibri" w:cs="Calibri, Calibri"/>
          <w:b/>
          <w:color w:val="000000"/>
          <w:sz w:val="22"/>
          <w:szCs w:val="22"/>
          <w:lang w:val="pl-PL"/>
        </w:rPr>
        <w:t xml:space="preserve"> STAWEK</w:t>
      </w:r>
    </w:p>
    <w:p w14:paraId="23AD14E7" w14:textId="77777777" w:rsidR="00D525A9" w:rsidRPr="006053B3" w:rsidRDefault="00D525A9" w:rsidP="00691974">
      <w:pPr>
        <w:pStyle w:val="Standard"/>
        <w:numPr>
          <w:ilvl w:val="0"/>
          <w:numId w:val="12"/>
        </w:numPr>
        <w:jc w:val="both"/>
        <w:rPr>
          <w:rFonts w:asciiTheme="minorHAnsi" w:eastAsia="Calibri, Calibri" w:hAnsiTheme="minorHAnsi" w:cstheme="minorHAnsi"/>
          <w:color w:val="000000"/>
          <w:sz w:val="20"/>
          <w:szCs w:val="20"/>
          <w:lang w:val="pl-PL"/>
        </w:rPr>
      </w:pPr>
      <w:r w:rsidRPr="006053B3">
        <w:rPr>
          <w:rFonts w:asciiTheme="minorHAnsi" w:eastAsia="Calibri, Calibri" w:hAnsiTheme="minorHAnsi" w:cstheme="minorHAnsi"/>
          <w:color w:val="000000"/>
          <w:sz w:val="20"/>
          <w:szCs w:val="20"/>
          <w:lang w:val="pl-PL"/>
        </w:rPr>
        <w:t xml:space="preserve">Stowarzyszenie Lokalna Grupa Działania Chełmno (dalej: LGD) w ramach Regionalnego Programu Operacyjnego Województwa Kujawsko-Pomorskiego na lata 2014-2020 określiło „Katalog maksymalnych stawek” (dalej: Katalog) obowiązujący dla wyżej wskazanego naboru wniosków. Wprowadzenie niniejszego mechanizmu ma zagwarantować jednolite podejście LGD do przeprowadzenia oceny budżetów przyjętych przez </w:t>
      </w:r>
      <w:proofErr w:type="spellStart"/>
      <w:r w:rsidR="00BA4151" w:rsidRPr="006053B3">
        <w:rPr>
          <w:rFonts w:asciiTheme="minorHAnsi" w:eastAsia="Calibri, Calibri" w:hAnsiTheme="minorHAnsi" w:cstheme="minorHAnsi"/>
          <w:color w:val="000000"/>
          <w:sz w:val="20"/>
          <w:szCs w:val="20"/>
          <w:lang w:val="pl-PL"/>
        </w:rPr>
        <w:t>Grantobiorców</w:t>
      </w:r>
      <w:proofErr w:type="spellEnd"/>
      <w:r w:rsidRPr="006053B3">
        <w:rPr>
          <w:rFonts w:asciiTheme="minorHAnsi" w:eastAsia="Calibri, Calibri" w:hAnsiTheme="minorHAnsi" w:cstheme="minorHAnsi"/>
          <w:color w:val="000000"/>
          <w:sz w:val="20"/>
          <w:szCs w:val="20"/>
          <w:lang w:val="pl-PL"/>
        </w:rPr>
        <w:t xml:space="preserve"> oraz służyć temu, aby zatwierdzone przez LGD wydatki były efektywne oraz poniesione w racjonalnej wysokości, tzn. niezawyżone w stosunku do stawek rynkowych, a także ponoszone zgodnie z zasadą należytego zarządzania finansami.</w:t>
      </w:r>
      <w:r w:rsidR="005F6B01" w:rsidRPr="006053B3">
        <w:rPr>
          <w:rFonts w:asciiTheme="minorHAnsi" w:eastAsia="Calibri, Calibri" w:hAnsiTheme="minorHAnsi" w:cstheme="minorHAnsi"/>
          <w:color w:val="000000"/>
          <w:sz w:val="20"/>
          <w:szCs w:val="20"/>
          <w:lang w:val="pl-PL"/>
        </w:rPr>
        <w:t xml:space="preserve"> </w:t>
      </w:r>
    </w:p>
    <w:p w14:paraId="4207B5C3" w14:textId="77777777" w:rsidR="005F6B01" w:rsidRPr="006053B3" w:rsidRDefault="005F6B01" w:rsidP="00691974">
      <w:pPr>
        <w:pStyle w:val="Akapitzlist"/>
        <w:numPr>
          <w:ilvl w:val="0"/>
          <w:numId w:val="12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hAnsiTheme="minorHAnsi" w:cstheme="minorHAnsi"/>
          <w:sz w:val="20"/>
          <w:szCs w:val="20"/>
        </w:rPr>
        <w:t>Kwoty ujęte w zestawieniu uwzględniają wartość brutto wydatku (z wyjątkiem wynagrodzeń, które są szacowane z uwzględnieniem kosztów pracodawcy).</w:t>
      </w:r>
    </w:p>
    <w:p w14:paraId="3CD4DD7F" w14:textId="77777777" w:rsidR="00BA4151" w:rsidRPr="006053B3" w:rsidRDefault="005F6B01" w:rsidP="00691974">
      <w:pPr>
        <w:pStyle w:val="Akapitzlist"/>
        <w:numPr>
          <w:ilvl w:val="0"/>
          <w:numId w:val="12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hAnsiTheme="minorHAnsi" w:cstheme="minorHAnsi"/>
          <w:sz w:val="20"/>
          <w:szCs w:val="20"/>
        </w:rPr>
        <w:t>Godzina ujęta w zestawieniu, co do zasady</w:t>
      </w:r>
      <w:r w:rsidR="0082612F" w:rsidRPr="006053B3">
        <w:rPr>
          <w:rFonts w:asciiTheme="minorHAnsi" w:hAnsiTheme="minorHAnsi" w:cstheme="minorHAnsi"/>
          <w:sz w:val="20"/>
          <w:szCs w:val="20"/>
        </w:rPr>
        <w:t>,</w:t>
      </w:r>
      <w:r w:rsidRPr="006053B3">
        <w:rPr>
          <w:rFonts w:asciiTheme="minorHAnsi" w:hAnsiTheme="minorHAnsi" w:cstheme="minorHAnsi"/>
          <w:sz w:val="20"/>
          <w:szCs w:val="20"/>
        </w:rPr>
        <w:t xml:space="preserve"> oznacza godzinę zegarową (tj. 60 minut), chyba że w zestawieniu wskazano inaczej.</w:t>
      </w:r>
    </w:p>
    <w:p w14:paraId="4D421AF1" w14:textId="77777777" w:rsidR="00BA4151" w:rsidRPr="006053B3" w:rsidRDefault="00D525A9" w:rsidP="00691974">
      <w:pPr>
        <w:pStyle w:val="Akapitzlist"/>
        <w:numPr>
          <w:ilvl w:val="0"/>
          <w:numId w:val="12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eastAsia="Calibri, Calibri" w:hAnsiTheme="minorHAnsi" w:cstheme="minorHAnsi"/>
          <w:color w:val="000000"/>
          <w:sz w:val="20"/>
          <w:szCs w:val="20"/>
        </w:rPr>
        <w:t>Katalog określa najczęściej występujące koszty, jednak nie stanowi katalogu zamkniętego, czyli dopuszczalne jest ujmowanie innych kosztów, niewskazanych w powyższym Katalogu, które są niezbędne do realizacji projektu. Stawki wyszczególnione w Katalogu są stawkami maksymalnymi, jednak nie oznacza to automatycznego zaakceptowania przez LGD stawek założonych na ich maksymalnym poziomie</w:t>
      </w:r>
      <w:r w:rsidR="006061F4" w:rsidRPr="006053B3">
        <w:rPr>
          <w:rFonts w:asciiTheme="minorHAnsi" w:hAnsiTheme="minorHAnsi" w:cstheme="minorHAnsi"/>
          <w:sz w:val="20"/>
          <w:szCs w:val="20"/>
        </w:rPr>
        <w:t xml:space="preserve">. </w:t>
      </w:r>
      <w:r w:rsidRPr="006053B3">
        <w:rPr>
          <w:rFonts w:asciiTheme="minorHAnsi" w:eastAsia="Calibri, Calibri" w:hAnsiTheme="minorHAnsi" w:cstheme="minorHAnsi"/>
          <w:color w:val="000000"/>
          <w:sz w:val="20"/>
          <w:szCs w:val="20"/>
        </w:rPr>
        <w:t>Przyjęcie stawki maksymalnej nie oznacza również, że będzie ona akceptowana przez LGD w każdym projekcie. Przy ocenie budżetu danego projektu będą brane pod uwagę m.in. takie czynniki, jak</w:t>
      </w:r>
      <w:r w:rsidR="0082612F" w:rsidRPr="006053B3">
        <w:rPr>
          <w:rFonts w:asciiTheme="minorHAnsi" w:eastAsia="Calibri, Calibri" w:hAnsiTheme="minorHAnsi" w:cstheme="minorHAnsi"/>
          <w:color w:val="000000"/>
          <w:sz w:val="20"/>
          <w:szCs w:val="20"/>
        </w:rPr>
        <w:t>:</w:t>
      </w:r>
      <w:r w:rsidRPr="006053B3">
        <w:rPr>
          <w:rFonts w:asciiTheme="minorHAnsi" w:eastAsia="Calibri, Calibri" w:hAnsiTheme="minorHAnsi" w:cstheme="minorHAnsi"/>
          <w:color w:val="000000"/>
          <w:sz w:val="20"/>
          <w:szCs w:val="20"/>
        </w:rPr>
        <w:t xml:space="preserve"> stopień złożoności projektu czy wielkość grupy docelowej oraz czy koszty poniesiono w wysokości racjonalnej odpowiadającej wartościom rynkowym towarów i usług.</w:t>
      </w:r>
      <w:r w:rsidR="005F6B01" w:rsidRPr="006053B3">
        <w:rPr>
          <w:rFonts w:asciiTheme="minorHAnsi" w:hAnsiTheme="minorHAnsi" w:cstheme="minorHAnsi"/>
          <w:sz w:val="20"/>
          <w:szCs w:val="20"/>
        </w:rPr>
        <w:t xml:space="preserve"> Grantobiorca winien uzasadnić ich racjonalność, załączając do wniosku o powierzenie grantu co najmniej 2 dokumenty uzasadniające przyjęty poziom cenowy (np. oferty cenowe, katalogi cenowe, wydruki ze stron www, itp.). Brak dokumentów uzasadniających poziom cen skutkuje uznaniem danego kosztu za niekwalifikowalny. Gra</w:t>
      </w:r>
      <w:r w:rsidR="00B63201" w:rsidRPr="006053B3">
        <w:rPr>
          <w:rFonts w:asciiTheme="minorHAnsi" w:hAnsiTheme="minorHAnsi" w:cstheme="minorHAnsi"/>
          <w:sz w:val="20"/>
          <w:szCs w:val="20"/>
        </w:rPr>
        <w:t>n</w:t>
      </w:r>
      <w:r w:rsidR="005F6B01" w:rsidRPr="006053B3">
        <w:rPr>
          <w:rFonts w:asciiTheme="minorHAnsi" w:hAnsiTheme="minorHAnsi" w:cstheme="minorHAnsi"/>
          <w:sz w:val="20"/>
          <w:szCs w:val="20"/>
        </w:rPr>
        <w:t>tobiorca może dodatkowo załączyć do wniosku o powierzenie grantu kalkulacje cenowe dot. np. kosztu zakupu materiałów na warsztaty dla uczestników</w:t>
      </w:r>
      <w:r w:rsidR="0082612F" w:rsidRPr="006053B3">
        <w:rPr>
          <w:rFonts w:asciiTheme="minorHAnsi" w:hAnsiTheme="minorHAnsi" w:cstheme="minorHAnsi"/>
          <w:sz w:val="20"/>
          <w:szCs w:val="20"/>
        </w:rPr>
        <w:t>,</w:t>
      </w:r>
      <w:r w:rsidR="005F6B01" w:rsidRPr="006053B3">
        <w:rPr>
          <w:rFonts w:asciiTheme="minorHAnsi" w:hAnsiTheme="minorHAnsi" w:cstheme="minorHAnsi"/>
          <w:sz w:val="20"/>
          <w:szCs w:val="20"/>
        </w:rPr>
        <w:t xml:space="preserve"> gdy koszt jest składową kilku elementów. </w:t>
      </w:r>
      <w:r w:rsidR="005F6B01" w:rsidRPr="006053B3">
        <w:rPr>
          <w:rFonts w:asciiTheme="minorHAnsi" w:eastAsia="Calibri, Calibri" w:hAnsiTheme="minorHAnsi" w:cstheme="minorHAnsi"/>
          <w:color w:val="000000"/>
          <w:sz w:val="20"/>
          <w:szCs w:val="20"/>
        </w:rPr>
        <w:t>Nie ma możliwości zaplanowania w projekcie stawek wyższych, niż przewidziane w Katalogu</w:t>
      </w:r>
      <w:r w:rsidR="005F6B01" w:rsidRPr="006053B3">
        <w:rPr>
          <w:rFonts w:asciiTheme="minorHAnsi" w:hAnsiTheme="minorHAnsi" w:cstheme="minorHAnsi"/>
          <w:sz w:val="20"/>
          <w:szCs w:val="20"/>
        </w:rPr>
        <w:t xml:space="preserve"> </w:t>
      </w:r>
      <w:r w:rsidR="005F6B01" w:rsidRPr="006053B3">
        <w:rPr>
          <w:rFonts w:asciiTheme="minorHAnsi" w:eastAsia="Calibri, Calibri" w:hAnsiTheme="minorHAnsi" w:cstheme="minorHAnsi"/>
          <w:color w:val="000000"/>
          <w:sz w:val="20"/>
          <w:szCs w:val="20"/>
        </w:rPr>
        <w:t>dla danych rodzajów kosztów.</w:t>
      </w:r>
    </w:p>
    <w:p w14:paraId="7C10662A" w14:textId="77777777" w:rsidR="00BA4151" w:rsidRPr="006053B3" w:rsidRDefault="00D525A9" w:rsidP="00691974">
      <w:pPr>
        <w:pStyle w:val="Akapitzlist"/>
        <w:numPr>
          <w:ilvl w:val="0"/>
          <w:numId w:val="12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hAnsiTheme="minorHAnsi" w:cstheme="minorHAnsi"/>
          <w:sz w:val="20"/>
          <w:szCs w:val="20"/>
        </w:rPr>
        <w:t xml:space="preserve">LGD zobowiązane jest do dokonywania oceny wydatków ujętych w budżetach projektów. </w:t>
      </w:r>
      <w:r w:rsidR="006061F4" w:rsidRPr="006053B3">
        <w:rPr>
          <w:rFonts w:asciiTheme="minorHAnsi" w:hAnsiTheme="minorHAnsi" w:cstheme="minorHAnsi"/>
          <w:sz w:val="20"/>
          <w:szCs w:val="20"/>
        </w:rPr>
        <w:t>LGD b</w:t>
      </w:r>
      <w:r w:rsidRPr="006053B3">
        <w:rPr>
          <w:rFonts w:asciiTheme="minorHAnsi" w:hAnsiTheme="minorHAnsi" w:cstheme="minorHAnsi"/>
          <w:sz w:val="20"/>
          <w:szCs w:val="20"/>
        </w:rPr>
        <w:t>ędzie weryfikować:</w:t>
      </w:r>
    </w:p>
    <w:p w14:paraId="1C2C5890" w14:textId="77777777" w:rsidR="00BA4151" w:rsidRPr="006053B3" w:rsidRDefault="00D525A9" w:rsidP="00691974">
      <w:pPr>
        <w:pStyle w:val="Akapitzlist"/>
        <w:numPr>
          <w:ilvl w:val="0"/>
          <w:numId w:val="13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hAnsiTheme="minorHAnsi" w:cstheme="minorHAnsi"/>
          <w:sz w:val="20"/>
          <w:szCs w:val="20"/>
        </w:rPr>
        <w:t xml:space="preserve">kwalifikowalność wydatków pod kątem zgodności z </w:t>
      </w:r>
      <w:r w:rsidRPr="006053B3">
        <w:rPr>
          <w:rFonts w:asciiTheme="minorHAnsi" w:hAnsiTheme="minorHAnsi" w:cstheme="minorHAnsi"/>
          <w:i/>
          <w:iCs/>
          <w:sz w:val="20"/>
          <w:szCs w:val="20"/>
        </w:rPr>
        <w:t>Wytycznymi w zakresie kwalifikowalności wydatków w ramach Europejskiego Funduszu Rozwoju Regionalnego, Europejskiego Funduszu Społecznego oraz Funduszu Spójności na lata 2014-2020</w:t>
      </w:r>
      <w:r w:rsidRPr="006053B3">
        <w:rPr>
          <w:rFonts w:asciiTheme="minorHAnsi" w:hAnsiTheme="minorHAnsi" w:cstheme="minorHAnsi"/>
          <w:sz w:val="20"/>
          <w:szCs w:val="20"/>
        </w:rPr>
        <w:t>,</w:t>
      </w:r>
    </w:p>
    <w:p w14:paraId="6C4E572A" w14:textId="77777777" w:rsidR="00BA4151" w:rsidRPr="006053B3" w:rsidRDefault="00D525A9" w:rsidP="00691974">
      <w:pPr>
        <w:pStyle w:val="Akapitzlist"/>
        <w:numPr>
          <w:ilvl w:val="0"/>
          <w:numId w:val="13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hAnsiTheme="minorHAnsi" w:cstheme="minorHAnsi"/>
          <w:sz w:val="20"/>
          <w:szCs w:val="20"/>
        </w:rPr>
        <w:t xml:space="preserve">prawidłowość sporządzenia budżetu projektu, w szczególności: </w:t>
      </w:r>
    </w:p>
    <w:p w14:paraId="1472D1B5" w14:textId="77777777" w:rsidR="00D525A9" w:rsidRPr="006053B3" w:rsidRDefault="00D525A9" w:rsidP="00691974">
      <w:pPr>
        <w:pStyle w:val="Akapitzlist"/>
        <w:numPr>
          <w:ilvl w:val="0"/>
          <w:numId w:val="14"/>
        </w:numPr>
        <w:autoSpaceDE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53B3">
        <w:rPr>
          <w:rFonts w:asciiTheme="minorHAnsi" w:hAnsiTheme="minorHAnsi" w:cstheme="minorHAnsi"/>
          <w:sz w:val="20"/>
          <w:szCs w:val="20"/>
        </w:rPr>
        <w:t>niezbędność planowanych wydatków w budżecie projektu:</w:t>
      </w:r>
    </w:p>
    <w:p w14:paraId="13E3D284" w14:textId="77777777" w:rsidR="00D525A9" w:rsidRPr="006053B3" w:rsidRDefault="00D525A9" w:rsidP="00691974">
      <w:pPr>
        <w:pStyle w:val="Default"/>
        <w:numPr>
          <w:ilvl w:val="1"/>
          <w:numId w:val="15"/>
        </w:numPr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hAnsiTheme="minorHAnsi" w:cstheme="minorHAnsi"/>
          <w:sz w:val="20"/>
          <w:szCs w:val="20"/>
          <w:lang w:val="pl-PL"/>
        </w:rPr>
        <w:t>czy wynikają one bezpośrednio z opisanych działań oraz przyczyniają się do osiągnięcia produktów i rezultatów projektu,</w:t>
      </w:r>
    </w:p>
    <w:p w14:paraId="260FC98D" w14:textId="77777777" w:rsidR="00D525A9" w:rsidRPr="006053B3" w:rsidRDefault="00D525A9" w:rsidP="00691974">
      <w:pPr>
        <w:pStyle w:val="Default"/>
        <w:numPr>
          <w:ilvl w:val="1"/>
          <w:numId w:val="15"/>
        </w:numPr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hAnsiTheme="minorHAnsi" w:cstheme="minorHAnsi"/>
          <w:sz w:val="20"/>
          <w:szCs w:val="20"/>
          <w:lang w:val="pl-PL"/>
        </w:rPr>
        <w:t>c</w:t>
      </w:r>
      <w:r w:rsidRPr="006053B3">
        <w:rPr>
          <w:rFonts w:asciiTheme="minorHAnsi" w:eastAsia="F" w:hAnsiTheme="minorHAnsi" w:cstheme="minorHAnsi"/>
          <w:sz w:val="20"/>
          <w:szCs w:val="20"/>
          <w:lang w:val="pl-PL"/>
        </w:rPr>
        <w:t>zy nie ujęto wydatków, które wykazano jako potencjał wnioskodawcy (chyba że stanowią wkład własny),</w:t>
      </w:r>
    </w:p>
    <w:p w14:paraId="46B3F785" w14:textId="77777777" w:rsidR="00D525A9" w:rsidRPr="006053B3" w:rsidRDefault="00D525A9" w:rsidP="00691974">
      <w:pPr>
        <w:pStyle w:val="Default"/>
        <w:numPr>
          <w:ilvl w:val="1"/>
          <w:numId w:val="15"/>
        </w:numPr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eastAsia="F" w:hAnsiTheme="minorHAnsi" w:cstheme="minorHAnsi"/>
          <w:sz w:val="20"/>
          <w:szCs w:val="20"/>
          <w:lang w:val="pl-PL"/>
        </w:rPr>
        <w:t>czy są adekwatne do zakresu i specyfiki projektu, czasu jego realizacji,</w:t>
      </w:r>
    </w:p>
    <w:p w14:paraId="012B863B" w14:textId="77777777" w:rsidR="00D525A9" w:rsidRPr="006053B3" w:rsidRDefault="00D525A9" w:rsidP="00691974">
      <w:pPr>
        <w:pStyle w:val="Default"/>
        <w:numPr>
          <w:ilvl w:val="1"/>
          <w:numId w:val="15"/>
        </w:numPr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hAnsiTheme="minorHAnsi" w:cstheme="minorHAnsi"/>
          <w:sz w:val="20"/>
          <w:szCs w:val="20"/>
          <w:lang w:val="pl-PL"/>
        </w:rPr>
        <w:t xml:space="preserve">czy są zgodne z </w:t>
      </w:r>
      <w:r w:rsidRPr="006053B3">
        <w:rPr>
          <w:rFonts w:asciiTheme="minorHAnsi" w:hAnsiTheme="minorHAnsi" w:cstheme="minorHAnsi"/>
          <w:i/>
          <w:sz w:val="20"/>
          <w:szCs w:val="20"/>
          <w:lang w:val="pl-PL"/>
        </w:rPr>
        <w:t>Wytycznymi w zakresie kwalifikowania wydatków w ramach Europejskiego Funduszu Rozwoju Regionalnego, Europejskiego Funduszu Społecznego oraz Funduszu Spójności na lata 2014-2020</w:t>
      </w:r>
      <w:r w:rsidRPr="006053B3">
        <w:rPr>
          <w:rFonts w:asciiTheme="minorHAnsi" w:hAnsiTheme="minorHAnsi" w:cstheme="minorHAnsi"/>
          <w:sz w:val="20"/>
          <w:szCs w:val="20"/>
          <w:lang w:val="pl-PL"/>
        </w:rPr>
        <w:t>,</w:t>
      </w:r>
    </w:p>
    <w:p w14:paraId="7DC941E6" w14:textId="77777777" w:rsidR="00D525A9" w:rsidRPr="006053B3" w:rsidRDefault="00D525A9" w:rsidP="00691974">
      <w:pPr>
        <w:pStyle w:val="Default"/>
        <w:numPr>
          <w:ilvl w:val="1"/>
          <w:numId w:val="15"/>
        </w:numPr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eastAsia="F" w:hAnsiTheme="minorHAnsi" w:cstheme="minorHAnsi"/>
          <w:sz w:val="20"/>
          <w:szCs w:val="20"/>
          <w:lang w:val="pl-PL"/>
        </w:rPr>
        <w:t xml:space="preserve"> czy są zgodne z zapisami ogłoszenia o naborze.</w:t>
      </w:r>
    </w:p>
    <w:p w14:paraId="2CF204CD" w14:textId="77777777" w:rsidR="00D525A9" w:rsidRPr="006053B3" w:rsidRDefault="00D525A9" w:rsidP="00691974">
      <w:pPr>
        <w:pStyle w:val="Default"/>
        <w:jc w:val="both"/>
        <w:rPr>
          <w:rFonts w:asciiTheme="minorHAnsi" w:hAnsiTheme="minorHAnsi" w:cstheme="minorHAnsi"/>
          <w:sz w:val="20"/>
          <w:szCs w:val="20"/>
          <w:lang w:val="pl-PL"/>
        </w:rPr>
      </w:pPr>
    </w:p>
    <w:p w14:paraId="5BAEEF3B" w14:textId="77777777" w:rsidR="00D525A9" w:rsidRPr="006053B3" w:rsidRDefault="00D525A9" w:rsidP="00691974">
      <w:pPr>
        <w:pStyle w:val="Default"/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hAnsiTheme="minorHAnsi" w:cstheme="minorHAnsi"/>
          <w:sz w:val="20"/>
          <w:szCs w:val="20"/>
          <w:lang w:val="pl-PL"/>
        </w:rPr>
        <w:t xml:space="preserve">Wszystkie wskazane powyżej kwestie oceniane są łącznie. LGD informuje, że w przypadku zidentyfikowania przez oceniającego wydatków niekwalifikowanych lub wydatków w wysokości zawyżonej w stosunku do stawek rynkowych, </w:t>
      </w:r>
      <w:r w:rsidR="00BA4151" w:rsidRPr="006053B3">
        <w:rPr>
          <w:rFonts w:asciiTheme="minorHAnsi" w:hAnsiTheme="minorHAnsi" w:cstheme="minorHAnsi"/>
          <w:noProof/>
          <w:sz w:val="20"/>
          <w:szCs w:val="20"/>
          <w:lang w:val="pl-PL"/>
        </w:rPr>
        <w:t>kwota</w:t>
      </w:r>
      <w:r w:rsidR="00BA4151" w:rsidRPr="006053B3">
        <w:rPr>
          <w:rFonts w:asciiTheme="minorHAnsi" w:hAnsiTheme="minorHAnsi" w:cstheme="minorHAnsi"/>
          <w:sz w:val="20"/>
          <w:szCs w:val="20"/>
          <w:lang w:val="pl-PL"/>
        </w:rPr>
        <w:t xml:space="preserve"> grantu może ulec zmniejszeniu.</w:t>
      </w:r>
    </w:p>
    <w:p w14:paraId="611CA491" w14:textId="77777777" w:rsidR="00D525A9" w:rsidRPr="006053B3" w:rsidRDefault="00D525A9" w:rsidP="00691974">
      <w:pPr>
        <w:pStyle w:val="Default"/>
        <w:jc w:val="both"/>
        <w:rPr>
          <w:rFonts w:asciiTheme="minorHAnsi" w:hAnsiTheme="minorHAnsi" w:cstheme="minorHAnsi"/>
          <w:sz w:val="20"/>
          <w:szCs w:val="20"/>
          <w:lang w:val="pl-PL"/>
        </w:rPr>
      </w:pPr>
      <w:r w:rsidRPr="006053B3">
        <w:rPr>
          <w:rFonts w:asciiTheme="minorHAnsi" w:hAnsiTheme="minorHAnsi" w:cstheme="minorHAnsi"/>
          <w:sz w:val="20"/>
          <w:szCs w:val="20"/>
          <w:lang w:val="pl-PL"/>
        </w:rPr>
        <w:t>Mając na uwadze powyższe, przy planowaniu wydatków wnioskodawca powinien kierować się zasadą, aby ujęty w budżecie koszt był niezbędny do realizacji celów projektów i został dokonany w sposób przejrzysty, racjonalny i efektywny, z zachowaniem zasad uzyskiwania najlepszych efektów z danych nakładów.</w:t>
      </w:r>
    </w:p>
    <w:p w14:paraId="22E22B5D" w14:textId="77777777" w:rsidR="00D525A9" w:rsidRPr="006053B3" w:rsidRDefault="00D525A9" w:rsidP="00D525A9">
      <w:pPr>
        <w:pStyle w:val="Default"/>
        <w:rPr>
          <w:rFonts w:asciiTheme="minorHAnsi" w:hAnsiTheme="minorHAnsi" w:cstheme="minorHAnsi"/>
          <w:sz w:val="20"/>
          <w:szCs w:val="20"/>
          <w:lang w:val="pl-PL"/>
        </w:rPr>
      </w:pPr>
    </w:p>
    <w:p w14:paraId="59A65CB6" w14:textId="77777777" w:rsidR="00D525A9" w:rsidRPr="006053B3" w:rsidRDefault="00D525A9" w:rsidP="00D525A9">
      <w:pPr>
        <w:pStyle w:val="Default"/>
        <w:rPr>
          <w:rFonts w:ascii="Calibri" w:hAnsi="Calibri"/>
          <w:color w:val="FF0000"/>
          <w:sz w:val="22"/>
          <w:szCs w:val="22"/>
          <w:lang w:val="pl-PL"/>
        </w:rPr>
      </w:pPr>
    </w:p>
    <w:tbl>
      <w:tblPr>
        <w:tblW w:w="145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8"/>
        <w:gridCol w:w="2647"/>
        <w:gridCol w:w="1560"/>
        <w:gridCol w:w="5228"/>
        <w:gridCol w:w="4031"/>
      </w:tblGrid>
      <w:tr w:rsidR="00D525A9" w:rsidRPr="006053B3" w14:paraId="0B51E751" w14:textId="77777777" w:rsidTr="007442DE"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F885C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  <w:t>LP.</w:t>
            </w:r>
          </w:p>
        </w:tc>
        <w:tc>
          <w:tcPr>
            <w:tcW w:w="2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5F0DE2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  <w:t>Nazwa kosztu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4767C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  <w:t>Jednostka miary</w:t>
            </w:r>
          </w:p>
        </w:tc>
        <w:tc>
          <w:tcPr>
            <w:tcW w:w="5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6255A8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  <w:t>Maksymalny dopuszczalny koszt (W ZŁOTYCH)</w:t>
            </w:r>
          </w:p>
        </w:tc>
        <w:tc>
          <w:tcPr>
            <w:tcW w:w="4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7CC301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b/>
                <w:bCs/>
                <w:sz w:val="22"/>
                <w:szCs w:val="22"/>
                <w:lang w:val="pl-PL"/>
              </w:rPr>
              <w:t>Podstawa kosztu/Wyjaśnienie</w:t>
            </w:r>
          </w:p>
        </w:tc>
      </w:tr>
      <w:tr w:rsidR="00D525A9" w:rsidRPr="006053B3" w14:paraId="621CAD88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23BBC1" w14:textId="77777777" w:rsidR="00D525A9" w:rsidRPr="006053B3" w:rsidRDefault="00D525A9" w:rsidP="00D525A9">
            <w:pPr>
              <w:pStyle w:val="TableContents"/>
              <w:numPr>
                <w:ilvl w:val="0"/>
                <w:numId w:val="8"/>
              </w:numP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6D732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Psycholog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DA6B37" w14:textId="77777777" w:rsidR="00D525A9" w:rsidRPr="007442DE" w:rsidRDefault="00941E3D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  <w:r w:rsidR="006053B3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 etat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4FCC7C" w14:textId="63F0DFDF" w:rsidR="00D525A9" w:rsidRPr="007442DE" w:rsidRDefault="00941E3D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</w:t>
            </w:r>
            <w:r w:rsidR="00B217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</w:t>
            </w: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0,00 zł</w:t>
            </w:r>
            <w:r w:rsidR="006053B3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 5000,00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649108" w14:textId="77777777" w:rsidR="00D525A9" w:rsidRPr="006053B3" w:rsidRDefault="00941E3D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 oznacza 60 min.</w:t>
            </w:r>
          </w:p>
        </w:tc>
      </w:tr>
      <w:tr w:rsidR="00D525A9" w:rsidRPr="006053B3" w14:paraId="0CC980F1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3A1B25" w14:textId="77777777" w:rsidR="00D525A9" w:rsidRPr="006053B3" w:rsidRDefault="00D525A9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FFAA9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Psychoterapia indywidualna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B00348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7AB6FD" w14:textId="0E0E3494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</w:t>
            </w:r>
            <w:r w:rsidR="00B217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15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CAD13A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 przypadku porady psychologa/terapeuta </w:t>
            </w:r>
            <w:r w:rsidR="00941E3D"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“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Godzina” oznacza czas standardowej wizyty tj. 50 minut</w:t>
            </w:r>
          </w:p>
        </w:tc>
      </w:tr>
      <w:tr w:rsidR="00D525A9" w:rsidRPr="006053B3" w14:paraId="2871A211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6457C6" w14:textId="77777777" w:rsidR="00D525A9" w:rsidRPr="006053B3" w:rsidRDefault="00D525A9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87FF94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Psychoterapia grupowa/rodzinna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649088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097AFC" w14:textId="73A1C4FD" w:rsidR="00D525A9" w:rsidRPr="006053B3" w:rsidRDefault="00EC5D37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</w:t>
            </w:r>
            <w:r w:rsidR="00B217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2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BFFD9F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 przypadku porady psychologa/terapeuta “Godzina” oznacza czas standardowej wizyty tj. 50 minut</w:t>
            </w:r>
          </w:p>
        </w:tc>
      </w:tr>
      <w:tr w:rsidR="00D525A9" w:rsidRPr="006053B3" w14:paraId="6EB0B4EA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632FD5" w14:textId="77777777" w:rsidR="00D525A9" w:rsidRPr="006053B3" w:rsidRDefault="00D525A9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2EC70F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Terapeuta zajęciowy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976BA2" w14:textId="77777777" w:rsidR="00D525A9" w:rsidRPr="006053B3" w:rsidRDefault="00D13E53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Miesiąc/etat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08EFE1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4 200,00 zł etat (wynagrodzenie brutto z uwzględnieniem kosztów pracodawcy)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E77642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D525A9" w:rsidRPr="006053B3" w14:paraId="20D5E095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19676D" w14:textId="77777777" w:rsidR="00D525A9" w:rsidRPr="002871F0" w:rsidRDefault="00D525A9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A18229" w14:textId="77777777" w:rsidR="00D525A9" w:rsidRPr="002871F0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>Poradnictwo specjalistyczne - logopeda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0B3642" w14:textId="77777777" w:rsidR="00D525A9" w:rsidRPr="002871F0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2D7A3D" w14:textId="77777777" w:rsidR="00D525A9" w:rsidRPr="002871F0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>65,00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B73E17" w14:textId="77777777" w:rsidR="00D525A9" w:rsidRPr="002871F0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 xml:space="preserve"> “Godzina” oznacza czas standardowej wizyty tj. 45 minut</w:t>
            </w:r>
          </w:p>
        </w:tc>
      </w:tr>
      <w:tr w:rsidR="006053B3" w:rsidRPr="006053B3" w14:paraId="77074CEE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158101" w14:textId="77777777" w:rsidR="006053B3" w:rsidRPr="007442DE" w:rsidRDefault="006053B3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2EB23" w14:textId="77777777" w:rsidR="006053B3" w:rsidRPr="007442DE" w:rsidRDefault="006053B3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Poradnictwo specjalistyczne- terapia rodzinna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038D83" w14:textId="77777777" w:rsidR="006053B3" w:rsidRPr="007442DE" w:rsidRDefault="006053B3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588E5D" w14:textId="77777777" w:rsidR="006053B3" w:rsidRPr="007442DE" w:rsidRDefault="006053B3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140,00 zł brutto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5A7355" w14:textId="77777777" w:rsidR="006053B3" w:rsidRPr="006053B3" w:rsidRDefault="006053B3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  <w:t>-</w:t>
            </w:r>
          </w:p>
        </w:tc>
      </w:tr>
      <w:tr w:rsidR="00D525A9" w:rsidRPr="006053B3" w14:paraId="76AE8B8E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1F4A7B" w14:textId="77777777" w:rsidR="00D525A9" w:rsidRPr="006053B3" w:rsidRDefault="00D525A9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7952FC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Poradnictwo specjalistyczne inne – socjoterapia, hipoterapia, inne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16297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E01AEA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80,00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755799" w14:textId="77777777" w:rsidR="00D525A9" w:rsidRPr="00B83055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D525A9" w:rsidRPr="006053B3" w14:paraId="1F0F50F6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2CB3E9" w14:textId="77777777" w:rsidR="00D525A9" w:rsidRPr="006053B3" w:rsidRDefault="00D525A9" w:rsidP="00D525A9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EA5B8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Prawnik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2866E7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006456" w14:textId="7D98E093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</w:t>
            </w:r>
            <w:r w:rsidR="00B217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162ED3" w14:textId="77777777" w:rsidR="00D525A9" w:rsidRPr="006053B3" w:rsidRDefault="00D525A9" w:rsidP="00E9427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  <w:r w:rsidR="00B83055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</w:p>
        </w:tc>
      </w:tr>
      <w:tr w:rsidR="009E5833" w:rsidRPr="006053B3" w14:paraId="1A2DEE0B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A1ADF5" w14:textId="77777777" w:rsidR="009E5833" w:rsidRPr="007442DE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9B5982" w14:textId="77777777" w:rsidR="009E5833" w:rsidRPr="007442DE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Asystent osoby niepełnosprawnej/ opiekun osoby zależnej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C5B155" w14:textId="77777777" w:rsidR="00990820" w:rsidRPr="007442DE" w:rsidRDefault="00990820" w:rsidP="007442DE">
            <w:pPr>
              <w:pStyle w:val="TableContents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  <w:p w14:paraId="5F30F34D" w14:textId="77777777" w:rsidR="00990820" w:rsidRPr="007442DE" w:rsidRDefault="00990820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Etat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F2C0B0" w14:textId="77777777" w:rsidR="009E583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Wynagrodzenie za pracę/stawka za godzinę pracy osób bezpośrednio świadczącej usługi społeczne w projekcie nie mogą być niższe od minimalnego wynagrodzenia za pracę/ minimalnej stawki godzinowej ustalonych na podstawie przepisów o minimalnym wynagrodzeniu za pracę. Zapis nie dotyczy osób świadczący</w:t>
            </w: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c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h usługi 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nieodpłatnie.</w:t>
            </w:r>
          </w:p>
          <w:p w14:paraId="42D71979" w14:textId="77777777" w:rsidR="009E5833" w:rsidRPr="007442DE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3 800,00zł </w:t>
            </w:r>
            <w:r w:rsidR="00990820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(wynagrodzenie brutto z uwzględnieniem kosztów pracodawcy)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F90269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Wymagania:</w:t>
            </w:r>
          </w:p>
          <w:p w14:paraId="7BDE4C9C" w14:textId="77777777"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Warunkiem zatrudnienia AON jest ukończenie kształcenie w zawodzie asystenta osoby niepełnosprawnej zgodnie z rozporządzeniem Ministra Edukacji Narodowej z dnia 7 lutego 2012 r. w 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sprawie podstawy programowej kształcenia w zawodach (Dz.U. poz. 184, ze zm.).</w:t>
            </w:r>
          </w:p>
        </w:tc>
      </w:tr>
      <w:tr w:rsidR="009E5833" w:rsidRPr="006053B3" w14:paraId="0E805E86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11C8BA" w14:textId="77777777" w:rsidR="009E5833" w:rsidRPr="007442DE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4E7245" w14:textId="77777777" w:rsidR="009E5833" w:rsidRPr="007442DE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Rehabilitant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828DB9" w14:textId="77777777"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839EB6" w14:textId="77777777"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60,00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6CA846" w14:textId="77777777"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9E5833" w14:paraId="131A34A5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B6ED07" w14:textId="77777777" w:rsidR="009E5833" w:rsidRPr="007442DE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B02825" w14:textId="77777777" w:rsidR="009E5833" w:rsidRPr="007442DE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Dietetyk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00DE00" w14:textId="77777777" w:rsidR="009E5833" w:rsidRPr="009E583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514F36" w14:textId="77777777" w:rsidR="009E5833" w:rsidRPr="009E583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90,00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58A0B5" w14:textId="77777777" w:rsidR="009E5833" w:rsidRPr="009E583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9E5833" w14:paraId="41045FFF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625F34" w14:textId="77777777" w:rsidR="009E5833" w:rsidRPr="007442DE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EB2FC0" w14:textId="77777777" w:rsidR="009E5833" w:rsidRPr="007442DE" w:rsidRDefault="009E5833" w:rsidP="009E5833">
            <w:pPr>
              <w:pStyle w:val="Standard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Wynagrodzenie trenera pracy/tutora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394EA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C4CFBD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70,00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6273E2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9E5833" w14:paraId="1B223DFE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38AA2" w14:textId="77777777" w:rsidR="009E5833" w:rsidRPr="002871F0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4A5041" w14:textId="4C5C5758" w:rsidR="009E5833" w:rsidRPr="002871F0" w:rsidRDefault="00591E26" w:rsidP="009E5833">
            <w:pPr>
              <w:pStyle w:val="Standard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>O</w:t>
            </w:r>
            <w:r w:rsidR="00990820"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>piekun</w:t>
            </w:r>
            <w:r w:rsidR="009E5833"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 xml:space="preserve"> klub</w:t>
            </w:r>
            <w:r w:rsidR="00990820"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>u</w:t>
            </w:r>
            <w:r w:rsidR="009E5833"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 xml:space="preserve"> młodzieżow</w:t>
            </w:r>
            <w:r w:rsidR="00990820"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>ego</w:t>
            </w:r>
            <w:r w:rsidR="009E5833"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>/ świetlic</w:t>
            </w:r>
            <w:r w:rsidR="00990820"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>y</w:t>
            </w:r>
            <w:r w:rsidR="009E5833"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 xml:space="preserve"> środowiskow</w:t>
            </w:r>
            <w:r w:rsidR="00990820"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>ej</w:t>
            </w:r>
            <w:r w:rsidR="009A393C"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>/opiekun grupy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F59A91" w14:textId="77777777" w:rsidR="009E5833" w:rsidRPr="002871F0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>-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37750F" w14:textId="77777777" w:rsidR="009E5833" w:rsidRPr="002871F0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>3 000,00 zł etat (wynagrodzenie brutto z uwzględnieniem kosztów pracodawcy)</w:t>
            </w:r>
            <w:r w:rsidR="00990820"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br/>
              <w:t>30,00 zł/ godzinę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9285C3" w14:textId="77777777" w:rsidR="009E5833" w:rsidRPr="002871F0" w:rsidRDefault="00990820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>Wymogi określone w standardzie klubu młodzieżowego</w:t>
            </w:r>
          </w:p>
        </w:tc>
      </w:tr>
      <w:tr w:rsidR="009E5833" w:rsidRPr="009E5833" w14:paraId="5ECC968B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0FCF0" w14:textId="77777777" w:rsidR="009E5833" w:rsidRPr="007442DE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E4377D" w14:textId="77777777" w:rsidR="009E5833" w:rsidRPr="007442DE" w:rsidRDefault="009E5833" w:rsidP="009E5833">
            <w:pPr>
              <w:pStyle w:val="Standard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Pielęgniarka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318803" w14:textId="77777777" w:rsidR="009E5833" w:rsidRPr="007442DE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Etat</w:t>
            </w:r>
            <w:r w:rsidR="00771192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3B8726" w14:textId="77777777" w:rsidR="009E5833" w:rsidRPr="007442DE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4 600,00 zł </w:t>
            </w:r>
            <w:r w:rsidR="00771192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/100,00 zł</w:t>
            </w:r>
            <w:r w:rsidR="007442DE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za godzinę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BC8F26" w14:textId="77777777" w:rsidR="009E5833" w:rsidRPr="007442DE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Wynagrodzenie brutto </w:t>
            </w:r>
            <w:r w:rsidR="00591E26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br/>
            </w: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z uwzględnieniem </w:t>
            </w:r>
            <w:r w:rsidR="00990820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kosztów pracodawcy</w:t>
            </w:r>
          </w:p>
        </w:tc>
      </w:tr>
      <w:tr w:rsidR="00990820" w:rsidRPr="009E5833" w14:paraId="3B45E7A2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B8485B" w14:textId="77777777" w:rsidR="00990820" w:rsidRPr="007442DE" w:rsidRDefault="00990820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BCC08B" w14:textId="77777777" w:rsidR="00990820" w:rsidRPr="007442DE" w:rsidRDefault="00990820" w:rsidP="009E5833">
            <w:pPr>
              <w:pStyle w:val="Standard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Fizjoterapeuta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338D82" w14:textId="77777777" w:rsidR="00990820" w:rsidRPr="007442DE" w:rsidRDefault="00990820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Etat</w:t>
            </w:r>
            <w:r w:rsidR="00771192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 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C8751E" w14:textId="77777777" w:rsidR="00990820" w:rsidRPr="007442DE" w:rsidRDefault="00990820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4 5000,00 zł</w:t>
            </w:r>
            <w:r w:rsidR="00771192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/100,00 zł</w:t>
            </w:r>
            <w:r w:rsidR="007442DE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za godzinę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1BEE9" w14:textId="77777777" w:rsidR="00990820" w:rsidRPr="007442DE" w:rsidRDefault="00990820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Wynagrodzenie brutto </w:t>
            </w:r>
            <w:r w:rsidR="00591E26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br/>
            </w: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 uwzględnieniem kosztów pracodawcy</w:t>
            </w:r>
          </w:p>
        </w:tc>
      </w:tr>
      <w:tr w:rsidR="00990820" w:rsidRPr="009E5833" w14:paraId="2162F455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D3F66A" w14:textId="77777777" w:rsidR="00990820" w:rsidRPr="007442DE" w:rsidRDefault="00990820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A0FBB3" w14:textId="77777777" w:rsidR="00990820" w:rsidRPr="007442DE" w:rsidRDefault="00990820" w:rsidP="009E5833">
            <w:pPr>
              <w:pStyle w:val="Standard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Trenerzy/ organizatorzy zajęć sportowych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E4EEE6" w14:textId="77777777" w:rsidR="00990820" w:rsidRPr="007442DE" w:rsidRDefault="00990820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ADC48C" w14:textId="77777777" w:rsidR="00990820" w:rsidRPr="007442DE" w:rsidRDefault="00990820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70,00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5A0448" w14:textId="77777777" w:rsidR="00990820" w:rsidRPr="007442DE" w:rsidRDefault="00591E26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14:paraId="4631A24B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4420DE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ADC323" w14:textId="77777777" w:rsidR="009E5833" w:rsidRPr="007442DE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Transport – wynajem aut/ </w:t>
            </w:r>
            <w:proofErr w:type="spellStart"/>
            <w:r w:rsidRPr="007442DE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busa</w:t>
            </w:r>
            <w:proofErr w:type="spellEnd"/>
            <w:r w:rsidR="00264B09" w:rsidRPr="007442DE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/autokaru</w:t>
            </w:r>
            <w:r w:rsidRPr="007442DE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 do </w:t>
            </w:r>
            <w:r w:rsidRPr="007442DE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przewożenia uczestników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23CB25" w14:textId="77777777" w:rsidR="009E5833" w:rsidRPr="007442DE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Kilometr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34EB1C" w14:textId="77777777" w:rsidR="009E5833" w:rsidRPr="007442DE" w:rsidRDefault="009E5833" w:rsidP="007442DE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br/>
            </w: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4,50</w:t>
            </w:r>
            <w:r w:rsidR="00264B09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</w:t>
            </w: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zł</w:t>
            </w:r>
            <w:r w:rsidR="00264B09"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/km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2C7281" w14:textId="77777777" w:rsidR="009E5833" w:rsidRPr="007442DE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14:paraId="5C9829FB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2BF281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034835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Szkolenia/warsztaty/ spotkania/poradnictwo </w:t>
            </w:r>
            <w:r w:rsidR="00591E26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z zakresu instrumentów aktywizacji społecznej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F5F125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Osoba/godzina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30F4C2" w14:textId="77777777"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Koszt uzależniony od zaplanowanej liczby godzin zakresu wsparcia, przy czym:</w:t>
            </w:r>
          </w:p>
          <w:p w14:paraId="652A618F" w14:textId="77777777" w:rsidR="009E5833" w:rsidRPr="006053B3" w:rsidRDefault="009E5833" w:rsidP="009E5833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maksymalny godzinowy koszt trenera, osoby prowadzącej to 100,00 zł brutto;</w:t>
            </w:r>
          </w:p>
          <w:p w14:paraId="25ED95CD" w14:textId="77777777" w:rsidR="009E5833" w:rsidRPr="006053B3" w:rsidRDefault="009E5833" w:rsidP="009E5833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maksymalny dzienny koszt szkolenia 8-godzinnego w przypadku szkoleń zleconych (cena zawiera koszt trenera, sali, cateringu i materiałów) to 1500,00 zł brutto;</w:t>
            </w:r>
          </w:p>
          <w:p w14:paraId="26988DB3" w14:textId="77777777" w:rsidR="009E5833" w:rsidRPr="006053B3" w:rsidRDefault="009E5833" w:rsidP="009E5833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lastRenderedPageBreak/>
              <w:t>maksymalny koszt przerwy kawowej 15,00 zł brutto (Wydatek nie powinien być kwalifikowany, jeżeli forma wsparcia w ramach której ma być świadczona przerwa kawowa dla tej samej grupy osób w danym dniu trwa krócej niż 4 godziny. Zakres: standardowa przerwa kawowa (kawa, herbata, woda, soki, ciastka, kanapki). Cena rynkowa powinna być uzależniona od rodzaju oferowanej usługi i jest niższa, jeśli finansowany jest mniejszy zakres usługi (np. kawa, herbata, woda, mleko, cukier cytryna bez drobnych lub słodkich przekąsek).</w:t>
            </w:r>
          </w:p>
          <w:p w14:paraId="4580D6A8" w14:textId="77777777" w:rsidR="009E5833" w:rsidRPr="006053B3" w:rsidRDefault="009E5833" w:rsidP="009E5833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maksymalny koszt przerwy obiadowej 35,00 zł brutto (Wyżywienie (obiad) – możliwość kwalifikowania wydatku powinna zostać ograniczona do projektów, w których wsparcie dla tej samej grupy osób w danym dniu trwa nie krócej niż 6 godzin. Zakres: obejmuje dwa dania (zupa i drugie danie), przy czym istnieje możliwość szerszego zakresu usługi, o ile mieści się w określonej cenie rynkowej. Cena rynkowa powinna być uzależniona od rodzaju oferowanej usługi i jest niższa, jeśli finansowany jest mniejszy zakres usługi (np. obiad składający się tylko </w:t>
            </w:r>
            <w:r w:rsidR="00591E2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z drugiego dania)</w:t>
            </w:r>
          </w:p>
          <w:p w14:paraId="7AB7C192" w14:textId="77777777"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 przypadku tego rodzaju kosztu w uzasadnieniu pod budżetem należy wskazać informacje nt.:</w:t>
            </w:r>
          </w:p>
          <w:p w14:paraId="7689F65F" w14:textId="77777777"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rodzaju planowanego instrumentu;</w:t>
            </w:r>
          </w:p>
          <w:p w14:paraId="25BD8FED" w14:textId="77777777"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przewidywanej liczby uczestników;</w:t>
            </w:r>
          </w:p>
          <w:p w14:paraId="744742D9" w14:textId="77777777"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przewidywanego czasu trwania – liczba godzin (w tym liczbę godzin wsparcia w ciągu dnia);</w:t>
            </w:r>
          </w:p>
          <w:p w14:paraId="6CDC712C" w14:textId="77777777"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- podstawy oszacowania kosztu (np. doświadczenie </w:t>
            </w:r>
            <w:r w:rsidR="00591E26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lastRenderedPageBreak/>
              <w:t>w realizacji tego typu wsparcia oraz przykładowy katalog kosztów z uwzględnieniem kosztów: trenera, cateringu, materiałów szkoleniowych).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E8604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-</w:t>
            </w:r>
          </w:p>
        </w:tc>
      </w:tr>
      <w:tr w:rsidR="009E5833" w:rsidRPr="006053B3" w14:paraId="271C2A5C" w14:textId="77777777" w:rsidTr="007442DE"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8F7CEA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B80B14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Terapeuta np. uzależnień – umowa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cywilnoprawna</w:t>
            </w:r>
            <w:r w:rsidR="00264B09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/</w:t>
            </w:r>
            <w:proofErr w:type="spellStart"/>
            <w:r w:rsidR="00264B09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fv</w:t>
            </w:r>
            <w:proofErr w:type="spellEnd"/>
          </w:p>
        </w:tc>
        <w:tc>
          <w:tcPr>
            <w:tcW w:w="156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8DD195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AE40BB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115,00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F62CA9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-</w:t>
            </w:r>
          </w:p>
        </w:tc>
      </w:tr>
      <w:tr w:rsidR="009E5833" w:rsidRPr="006053B3" w14:paraId="5177116C" w14:textId="77777777" w:rsidTr="007442D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91D286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466D58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Lider/ Animator lokalny – umowa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cywilnoprawna/</w:t>
            </w:r>
            <w:proofErr w:type="spellStart"/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fv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DD9CD1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D5BB38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95,00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7C1D26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14:paraId="6A76D5B7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4352C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D8CA20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Specjaliści ds. resocjalizacji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CF121B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F65F8A" w14:textId="51490580" w:rsidR="009E5833" w:rsidRPr="006053B3" w:rsidRDefault="00545EA4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8</w:t>
            </w:r>
            <w:r w:rsidR="009E5833"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C00C7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14:paraId="70513395" w14:textId="77777777" w:rsidTr="007442DE"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F1BE65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221EA1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Terapeuci grupowi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FDDCBC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09CE64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100,00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3FD814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14:paraId="720D773A" w14:textId="77777777" w:rsidTr="007442D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34BD6F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543126" w14:textId="794BA269" w:rsidR="009E5833" w:rsidRPr="006053B3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Warsztaty/zajęcia rękodzielnicze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 xml:space="preserve"> -prowadzący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EE7951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B0CB3B" w14:textId="3E62CF74" w:rsidR="009E5833" w:rsidRPr="006053B3" w:rsidRDefault="00545EA4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8</w:t>
            </w:r>
            <w:r w:rsidR="009E5833"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714FC2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14:paraId="5C815F9E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A3DD4A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D250A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Prowadzący zajęcia, warsztaty,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treningi profilaktyczne, terapeutyczne i inne niewyszczególnione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32E392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514A74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100,00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A22C12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14:paraId="21D6ED33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3E0943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F63983" w14:textId="77777777" w:rsidR="00591E26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Poradnictwo pedagogiczne </w:t>
            </w:r>
          </w:p>
          <w:p w14:paraId="49093F31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i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psychologiczne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CA0429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0E45B4" w14:textId="429D6A82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</w:t>
            </w:r>
            <w:r w:rsidR="00B217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94D5B3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14:paraId="32167FBC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5687B5" w14:textId="77777777" w:rsidR="009E5833" w:rsidRPr="002871F0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A0FDDA" w14:textId="77777777" w:rsidR="009E5833" w:rsidRPr="002871F0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trike/>
                <w:sz w:val="22"/>
                <w:szCs w:val="22"/>
                <w:lang w:val="pl-PL"/>
              </w:rPr>
            </w:pPr>
            <w:r w:rsidRPr="002871F0">
              <w:rPr>
                <w:rFonts w:asciiTheme="minorHAnsi" w:eastAsia="Liberation Sans" w:hAnsiTheme="minorHAnsi" w:cstheme="minorHAnsi"/>
                <w:strike/>
                <w:sz w:val="22"/>
                <w:szCs w:val="22"/>
                <w:lang w:val="pl-PL"/>
              </w:rPr>
              <w:t xml:space="preserve">Zajęcia np. artystyczne, </w:t>
            </w:r>
            <w:r w:rsidRPr="002871F0">
              <w:rPr>
                <w:rFonts w:asciiTheme="minorHAnsi" w:eastAsia="Mangal" w:hAnsiTheme="minorHAnsi" w:cstheme="minorHAnsi"/>
                <w:strike/>
                <w:sz w:val="22"/>
                <w:szCs w:val="22"/>
                <w:lang w:val="pl-PL"/>
              </w:rPr>
              <w:t>usprawniające m.in. naukę czytania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375888" w14:textId="77777777" w:rsidR="009E5833" w:rsidRPr="002871F0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4C260E" w14:textId="77777777" w:rsidR="009E5833" w:rsidRPr="002871F0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>60,00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5CE053" w14:textId="77777777" w:rsidR="009E5833" w:rsidRPr="002871F0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</w:pPr>
            <w:r w:rsidRPr="002871F0">
              <w:rPr>
                <w:rFonts w:asciiTheme="minorHAnsi" w:eastAsia="Calibri, Calibri" w:hAnsiTheme="minorHAnsi" w:cstheme="minorHAnsi"/>
                <w:strike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14:paraId="0966AAF1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2F0FE3" w14:textId="77777777" w:rsidR="009E5833" w:rsidRPr="00C033CA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8140F8" w14:textId="77777777" w:rsidR="009E5833" w:rsidRPr="00C033CA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C033CA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Bilety do kina/ teatru/ zoo/ basen/ </w:t>
            </w:r>
            <w:r w:rsidRPr="00C033CA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park rozrywki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A64B33" w14:textId="77777777" w:rsidR="009E5833" w:rsidRPr="00C033CA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9FCCF4" w14:textId="77777777" w:rsidR="009E5833" w:rsidRPr="00C033CA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Zgodnie z cennikiem danej instytucji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8675EB" w14:textId="77777777" w:rsidR="009E5833" w:rsidRPr="00C033CA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14:paraId="527C3D28" w14:textId="77777777" w:rsidTr="007442DE">
        <w:trPr>
          <w:trHeight w:val="737"/>
        </w:trPr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B8889D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5DB731" w14:textId="77777777" w:rsidR="009E5833" w:rsidRPr="006053B3" w:rsidRDefault="009E5833" w:rsidP="009E5833">
            <w:pPr>
              <w:pStyle w:val="Standard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Wynajem </w:t>
            </w:r>
            <w:proofErr w:type="spellStart"/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sal</w:t>
            </w:r>
            <w:proofErr w:type="spellEnd"/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 szkoleniowych: 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a)komputerowa z wyposażeniem ok. 8-15 osób;</w:t>
            </w:r>
          </w:p>
          <w:p w14:paraId="7249A991" w14:textId="77777777" w:rsidR="009E5833" w:rsidRPr="006053B3" w:rsidRDefault="009E5833" w:rsidP="009E5833">
            <w:pPr>
              <w:pStyle w:val="Standard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 xml:space="preserve">b)sala konferencyjna dla ok.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lastRenderedPageBreak/>
              <w:t>30-50 osób;</w:t>
            </w:r>
          </w:p>
          <w:p w14:paraId="0EFB068E" w14:textId="77777777" w:rsidR="009E5833" w:rsidRPr="006053B3" w:rsidRDefault="009E5833" w:rsidP="009E5833">
            <w:pPr>
              <w:pStyle w:val="Standard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c)sala szkoleniowa ok. 16-30 osób;</w:t>
            </w:r>
          </w:p>
          <w:p w14:paraId="4F373832" w14:textId="77777777" w:rsidR="009E5833" w:rsidRPr="006053B3" w:rsidRDefault="009E5833" w:rsidP="009E5833">
            <w:pPr>
              <w:pStyle w:val="Standard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d)sala szkoleniowa ok. 5-15 osób.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73C25D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Godzina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F4285A" w14:textId="77777777"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a) 60,00 zł;</w:t>
            </w:r>
          </w:p>
          <w:p w14:paraId="2CBCD1DF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  <w:p w14:paraId="62CC354C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b) 80,00 zł;</w:t>
            </w:r>
          </w:p>
          <w:p w14:paraId="4F2583EB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  <w:p w14:paraId="6D42AA02" w14:textId="77777777"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c) 50,00 zł</w:t>
            </w:r>
            <w:r w:rsidR="00264B09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;</w:t>
            </w:r>
          </w:p>
          <w:p w14:paraId="3180EE30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  <w:p w14:paraId="3A3E6ACC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d) 40,00 zł</w:t>
            </w:r>
            <w:r w:rsidR="00264B09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.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93F944" w14:textId="77777777" w:rsidR="009E5833" w:rsidRPr="006053B3" w:rsidRDefault="009E5833" w:rsidP="009E5833">
            <w:pPr>
              <w:pStyle w:val="TableContents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 xml:space="preserve">Obejmuje koszt wynajmu sali wyposażonej zgodnie z potrzebami projektu, m.in. stoły, krzesła, tablice, flipchart lub tablice </w:t>
            </w:r>
            <w:proofErr w:type="spellStart"/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suchościeralne</w:t>
            </w:r>
            <w:proofErr w:type="spellEnd"/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, bezprzewodowy dostęp do Internetu oraz koszty utrzymania sali, w 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lastRenderedPageBreak/>
              <w:t>tym energii elektrycznej.</w:t>
            </w:r>
          </w:p>
          <w:p w14:paraId="52CE616C" w14:textId="77777777" w:rsidR="009E5833" w:rsidRPr="006053B3" w:rsidRDefault="009E5833" w:rsidP="009E5833">
            <w:pPr>
              <w:pStyle w:val="TableContents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- 1 godzina wynajmu należy rozumieć jako godzinę zegarową (60 min.).</w:t>
            </w:r>
          </w:p>
        </w:tc>
      </w:tr>
      <w:tr w:rsidR="009E5833" w:rsidRPr="006053B3" w14:paraId="46ADD00E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4307F8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955FCE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Materiały piśmiennicze/szkoleniowe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8929D9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Zestaw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17234D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7442DE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20,00 zł zestaw</w:t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 na uczestnika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B22706" w14:textId="77777777"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wydatek kwalifikowalny, o ile jest to uzasadnione specyfiką realizowanego projektu;</w:t>
            </w:r>
          </w:p>
          <w:p w14:paraId="468FFA4E" w14:textId="77777777"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wydatek kwalifikowalny, o ile przewidziane są w ramach realizowanego projektu szkolenia/warsztaty/doradztwo;</w:t>
            </w:r>
          </w:p>
          <w:p w14:paraId="1C82561C" w14:textId="77777777"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obejmuje zestaw składający się z teczki, notesu, długopisu, wydruków;</w:t>
            </w:r>
          </w:p>
          <w:p w14:paraId="4F2E267F" w14:textId="77777777"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cena rynkowa powinna być uzależniona od rodzaju oferowanej usługi i jest niższa, jeśli finansowany jest mniejszy zakres usługi (np. notes i długopis);</w:t>
            </w:r>
          </w:p>
          <w:p w14:paraId="3887A410" w14:textId="77777777" w:rsidR="009E5833" w:rsidRPr="006053B3" w:rsidRDefault="009E5833" w:rsidP="009E5833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cena nie obejmuje kosztu logotypów (objęte są kosztami administracyjnymi).</w:t>
            </w:r>
          </w:p>
        </w:tc>
      </w:tr>
      <w:tr w:rsidR="009E5833" w:rsidRPr="006053B3" w14:paraId="44A35C4A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13858D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F72B3F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Materiały warsztatowe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42CC21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Zestaw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9DE953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40,00 zł na uczestnika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0CFF1A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 tym np. materiały na warsztaty rękodzielnicze, kulinarne</w:t>
            </w:r>
          </w:p>
        </w:tc>
      </w:tr>
      <w:tr w:rsidR="009E5833" w:rsidRPr="006053B3" w14:paraId="6513E504" w14:textId="77777777" w:rsidTr="007442DE"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18668A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2285F0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Wyżywienie (obiad)/lunch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791ECE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Zestaw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9F9DC7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35,00 zł na uczestnika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74A613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Zakres: obejmuje 2 dania (zupa i drugie danie), przy czym istnieje możliwość szerszego zakresu usługi, o ile mieści się w określonej cenie rynkowej. Cena rynkowa powinna być uzależniona od rodzaju oferowanej usługi i jest niższa, jeśli finansowany jest mniejszy zakres usługi (np. obiad składający się tylko </w:t>
            </w:r>
            <w:r w:rsid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z drugiego dania).</w:t>
            </w:r>
          </w:p>
        </w:tc>
      </w:tr>
      <w:tr w:rsidR="009E5833" w:rsidRPr="006053B3" w14:paraId="69254E7E" w14:textId="77777777" w:rsidTr="007442D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45BA8C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125C82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Nocleg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73C44A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Osoba/sztuka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3E1549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  <w:p w14:paraId="3CC37985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80,00 zł za osobę w pokoju dwuosobowym ze śniadaniem;</w:t>
            </w:r>
          </w:p>
          <w:p w14:paraId="3219C1A7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  <w:p w14:paraId="2126F172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120,00 zł za osobę w pokoju jednoosobowym ze śniadaniem.</w:t>
            </w:r>
          </w:p>
          <w:p w14:paraId="6E096AB8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4FF98B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Obejmuje nocleg, co do zasady </w:t>
            </w:r>
            <w:r w:rsid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w pokojach 2- osobowych (nocleg </w:t>
            </w:r>
            <w:r w:rsid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 pokojach 1- osobowych jest kwalifikowalny tylko w uzasadnionych przypadkach).</w:t>
            </w:r>
          </w:p>
        </w:tc>
      </w:tr>
      <w:tr w:rsidR="009E5833" w:rsidRPr="006053B3" w14:paraId="26346169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41217F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AEEA49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Kolacja w przypadku organizacji </w:t>
            </w:r>
            <w:r w:rsidRPr="006053B3">
              <w:rPr>
                <w:rFonts w:asciiTheme="minorHAnsi" w:eastAsia="Mangal" w:hAnsiTheme="minorHAnsi" w:cstheme="minorHAnsi"/>
                <w:sz w:val="22"/>
                <w:szCs w:val="22"/>
                <w:lang w:val="pl-PL"/>
              </w:rPr>
              <w:t>wsparcia z noclegiem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5EFAF6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Osoba/sztuka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CEA6BA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30,00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DF14F9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14:paraId="6015DCFE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89C187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21D5A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 xml:space="preserve">Laptop wraz </w:t>
            </w:r>
            <w:r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z oprogramowaniem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BCE035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F23B48" w14:textId="77777777" w:rsidR="009E583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2 800,00 zł/sztuka w przypadku jednorazowego odpisu amortyzacyjnego</w:t>
            </w:r>
          </w:p>
          <w:p w14:paraId="5BD8ED74" w14:textId="77777777" w:rsidR="009E5833" w:rsidRPr="00B83055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color w:val="FF0000"/>
                <w:sz w:val="22"/>
                <w:szCs w:val="22"/>
                <w:lang w:val="pl-PL"/>
              </w:rPr>
            </w:pP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1A731A" w14:textId="77777777" w:rsidR="009E5833" w:rsidRPr="006053B3" w:rsidRDefault="009E5833" w:rsidP="009E583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- wydatek kwalifikowalny, o ile nabycie laptopa jest niezbędne w celu wspomagania procesu wdrażania projektu (udzielania wsparcia uczestnikom projektu), nie do obsługi </w:t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projektu (co jest finansowane w ramach kosztów administracyjnych). Konieczność zakupu urządzenia powinna zostać uzasadniona we wniosku </w:t>
            </w:r>
            <w:r>
              <w:rPr>
                <w:rFonts w:asciiTheme="minorHAns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o dofinansowanie projektu; -wydatek kwalifikowalny w wysokości odpowiadającej odpisom amortyzacyjnym, zgodnie z pkt 4 podrozdziału 6.12.1 Wytycznych </w:t>
            </w:r>
            <w:r w:rsidR="00C033CA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w zakresie kwalifikowalności wydatków </w:t>
            </w:r>
            <w:r w:rsidR="00C033CA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 ramach Europejskiego Funduszu Rozwoju Regionalnego, Europejskiego Funduszu Społecznego oraz Funduszu Spójności na lata 2014-2020;</w:t>
            </w:r>
          </w:p>
          <w:p w14:paraId="0DBE7EDF" w14:textId="77777777" w:rsidR="009E5833" w:rsidRPr="006053B3" w:rsidRDefault="009E5833" w:rsidP="009E583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 xml:space="preserve">- wydatek kwalifikowalny w przypadku, gdy wnioskodawca nie posiada wystarczającego zaplecza technicznego do udzielania </w:t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lastRenderedPageBreak/>
              <w:t xml:space="preserve">wsparcia uczestnikom projektu. Mając na uwadze powyższe konieczność dokonywania zakupu sprzętu może skutkować obniżeniem możliwej do uzyskania liczby punktów </w:t>
            </w:r>
            <w:r w:rsidR="00C033CA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w ramach oceny potencjału wnioskodawcy; - wydatek kwalifikowalny, o ile laptop posiada parametry biurowe z oprogramowaniem systemowym i podstawowym pakietem biurowym (licencja na 12 miesięcy);</w:t>
            </w:r>
          </w:p>
        </w:tc>
      </w:tr>
      <w:tr w:rsidR="009E5833" w:rsidRPr="006053B3" w14:paraId="6E9EF259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CBEE04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76DEF4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Projektor multimedialny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5405C4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E02D9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2 400,00 zł/sztuka w przypadku jednorazowego odpisu amortyzacyjnego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702616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 wydatek kwalifikowalny, o ile nabycie projektora multimedialnego jest niezbędne w celu wspomagania procesu wdrażania. Konieczność zakupu urządzenia powinna zostać uzasadniona w części wniosku dostępnej pod budżetem szczegółowym;</w:t>
            </w:r>
          </w:p>
          <w:p w14:paraId="1471D903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 wydatek kwalifikowalny w przypadku, gdy wnioskodawca nie posiada wystarczającego zaplecza technicznego do udzielania wsparcia uczestnikom projektu;</w:t>
            </w:r>
          </w:p>
        </w:tc>
      </w:tr>
      <w:tr w:rsidR="009E5833" w:rsidRPr="006053B3" w14:paraId="6F24A9A2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42B41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BC3E3F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Ekran projekcyjny</w:t>
            </w:r>
          </w:p>
          <w:p w14:paraId="42ACC45D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F5F694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0180F5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430,00 zł/sztuka w przypadku jednorazowego odpisu amortyzacyjnego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BCEDC7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- wydatek kwalifikowalny, o ile nabycie ekranu projekcyjnego jest niezbędne </w:t>
            </w:r>
            <w:r w:rsidR="00C033CA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br/>
            </w: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w celu wspomagania procesu wdrażania. Konieczność zakupu urządzenia powinna zostać uzasadniona w części wniosku dostępnej pod budżetem szczegółowym;</w:t>
            </w:r>
          </w:p>
          <w:p w14:paraId="35FABCAB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 wydatek kwalifikowalny w przypadku, gdy wnioskodawca nie posiada wystarczającego zaplecza technicznego do udzielania wsparcia uczestnikom projektu;</w:t>
            </w:r>
          </w:p>
        </w:tc>
      </w:tr>
      <w:tr w:rsidR="009E5833" w:rsidRPr="006053B3" w14:paraId="599E2526" w14:textId="77777777" w:rsidTr="007442DE"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8CB0EC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6C3E59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Urządzenie wielofunkcyjne</w:t>
            </w:r>
          </w:p>
          <w:p w14:paraId="0FA0DCD6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156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44C500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660DF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1500 zł/sztuka w przypadku jednorazowego odpisu amortyzacyjnego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FF3CF9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- wydatek kwalifikowalny, o ile nabycie urządzenia wielofunkcyjnego jest niezbędne w celu wspomagania procesu wdrażania projektu (udzielania wsparcia uczestnikom projektu). Konieczność zakupu urządzenia powinna zostać </w:t>
            </w: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uzasadniona w części wniosku dostępnej pod budżetem szczegółowym;</w:t>
            </w:r>
          </w:p>
          <w:p w14:paraId="66D32739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wydatek kwalifikowalny w przypadku, gdy wnioskodawca nie posiada wystarczającego zaplecza technicznego do udzielania wsparcia uczestnikom projektu;</w:t>
            </w:r>
          </w:p>
          <w:p w14:paraId="4D949ED5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hAnsiTheme="minorHAnsi" w:cstheme="minorHAnsi"/>
                <w:sz w:val="22"/>
                <w:szCs w:val="22"/>
                <w:lang w:val="pl-PL"/>
              </w:rPr>
              <w:t>- wydatek kwalifikowalny, o ile urządzenie posiada min. funkcję druku, kserokopiarki, skanera;</w:t>
            </w:r>
          </w:p>
        </w:tc>
      </w:tr>
      <w:tr w:rsidR="009E5833" w:rsidRPr="006053B3" w14:paraId="5A969A6E" w14:textId="77777777" w:rsidTr="007442D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03FF7E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6D52B2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Drukarka</w:t>
            </w:r>
          </w:p>
          <w:p w14:paraId="5C0A7345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F4FA9B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3ECC4D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400,00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305E19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14:paraId="1118E341" w14:textId="77777777" w:rsidTr="007442DE">
        <w:tc>
          <w:tcPr>
            <w:tcW w:w="10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AF5463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54DCF" w14:textId="77777777" w:rsidR="009E5833" w:rsidRPr="006053B3" w:rsidRDefault="009E5833" w:rsidP="009E5833">
            <w:pPr>
              <w:pStyle w:val="Standard"/>
              <w:jc w:val="center"/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Liberation Sans" w:hAnsiTheme="minorHAnsi" w:cstheme="minorHAnsi"/>
                <w:sz w:val="22"/>
                <w:szCs w:val="22"/>
                <w:lang w:val="pl-PL"/>
              </w:rPr>
              <w:t>Mikrofon</w:t>
            </w:r>
          </w:p>
          <w:p w14:paraId="08C6AAA3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8CD7AD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AE4FB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200,00 zł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6F68EC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14:paraId="025E198B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D2ECF7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D9639E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Kamera cyfrowa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FA4D4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F3304E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1 400,00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9111A1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-</w:t>
            </w:r>
          </w:p>
        </w:tc>
      </w:tr>
      <w:tr w:rsidR="009E5833" w:rsidRPr="006053B3" w14:paraId="31807B0A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06AAFB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DA55F2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Aparat fotograficzny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2011EF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5CE2C1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800,00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73D35C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Aparat cyfrowy</w:t>
            </w:r>
          </w:p>
        </w:tc>
      </w:tr>
      <w:tr w:rsidR="009E5833" w:rsidRPr="006053B3" w14:paraId="4510E327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FD09F9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4590C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Tablica flipchart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88CEB1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6E3205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350,00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81BBDE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Tablica magnetyczna, </w:t>
            </w:r>
            <w:proofErr w:type="spellStart"/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suchościeralna</w:t>
            </w:r>
            <w:proofErr w:type="spellEnd"/>
          </w:p>
        </w:tc>
      </w:tr>
      <w:tr w:rsidR="009E5833" w:rsidRPr="006053B3" w14:paraId="3E97D22F" w14:textId="77777777" w:rsidTr="007442DE"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E72F27" w14:textId="77777777" w:rsidR="009E5833" w:rsidRPr="006053B3" w:rsidRDefault="009E5833" w:rsidP="009E5833">
            <w:pPr>
              <w:pStyle w:val="TableContents"/>
              <w:numPr>
                <w:ilvl w:val="0"/>
                <w:numId w:val="8"/>
              </w:numPr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</w:p>
        </w:tc>
        <w:tc>
          <w:tcPr>
            <w:tcW w:w="26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08B8CB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Tablica magnetyczna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A6247B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Sztuka</w:t>
            </w:r>
          </w:p>
        </w:tc>
        <w:tc>
          <w:tcPr>
            <w:tcW w:w="52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D24944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200,00 zł</w:t>
            </w:r>
          </w:p>
        </w:tc>
        <w:tc>
          <w:tcPr>
            <w:tcW w:w="4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519396" w14:textId="77777777" w:rsidR="009E5833" w:rsidRPr="006053B3" w:rsidRDefault="009E5833" w:rsidP="009E5833">
            <w:pPr>
              <w:pStyle w:val="TableContents"/>
              <w:jc w:val="center"/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</w:pPr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 xml:space="preserve">Minimalne wymiary 120 cm x 90 cm, powierzchnia </w:t>
            </w:r>
            <w:proofErr w:type="spellStart"/>
            <w:r w:rsidRPr="006053B3">
              <w:rPr>
                <w:rFonts w:asciiTheme="minorHAnsi" w:eastAsia="Calibri, Calibri" w:hAnsiTheme="minorHAnsi" w:cstheme="minorHAnsi"/>
                <w:sz w:val="22"/>
                <w:szCs w:val="22"/>
                <w:lang w:val="pl-PL"/>
              </w:rPr>
              <w:t>suchościeralna</w:t>
            </w:r>
            <w:proofErr w:type="spellEnd"/>
          </w:p>
        </w:tc>
      </w:tr>
    </w:tbl>
    <w:p w14:paraId="6167361B" w14:textId="77777777" w:rsidR="00C56B73" w:rsidRPr="006053B3" w:rsidRDefault="00C56B73">
      <w:pPr>
        <w:rPr>
          <w:rFonts w:ascii="Calibri" w:eastAsia="Calibri, Calibri" w:hAnsi="Calibri" w:cs="Calibri, Calibri"/>
          <w:noProof w:val="0"/>
          <w:color w:val="000000"/>
          <w:sz w:val="22"/>
          <w:szCs w:val="22"/>
        </w:rPr>
      </w:pPr>
    </w:p>
    <w:sectPr w:rsidR="00C56B73" w:rsidRPr="006053B3" w:rsidSect="007D0A19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E7FE6" w14:textId="77777777" w:rsidR="005F1648" w:rsidRDefault="005F1648" w:rsidP="007D0A19">
      <w:pPr>
        <w:rPr>
          <w:rFonts w:hint="eastAsia"/>
        </w:rPr>
      </w:pPr>
      <w:r>
        <w:separator/>
      </w:r>
    </w:p>
  </w:endnote>
  <w:endnote w:type="continuationSeparator" w:id="0">
    <w:p w14:paraId="3ECA640F" w14:textId="77777777" w:rsidR="005F1648" w:rsidRDefault="005F1648" w:rsidP="007D0A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EE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, Calibri">
    <w:altName w:val="Calibri"/>
    <w:charset w:val="00"/>
    <w:family w:val="swiss"/>
    <w:pitch w:val="default"/>
  </w:font>
  <w:font w:name="F">
    <w:charset w:val="00"/>
    <w:family w:val="roman"/>
    <w:pitch w:val="default"/>
  </w:font>
  <w:font w:name="Liberation Sans">
    <w:altName w:val="Arial"/>
    <w:charset w:val="EE"/>
    <w:family w:val="swiss"/>
    <w:pitch w:val="variable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6E320" w14:textId="77777777" w:rsidR="005F1648" w:rsidRDefault="005F1648" w:rsidP="007D0A19">
      <w:pPr>
        <w:rPr>
          <w:rFonts w:hint="eastAsia"/>
        </w:rPr>
      </w:pPr>
      <w:r>
        <w:separator/>
      </w:r>
    </w:p>
  </w:footnote>
  <w:footnote w:type="continuationSeparator" w:id="0">
    <w:p w14:paraId="69EDCDEF" w14:textId="77777777" w:rsidR="005F1648" w:rsidRDefault="005F1648" w:rsidP="007D0A1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F0768" w14:textId="77777777" w:rsidR="007D0A19" w:rsidRDefault="00620E7E" w:rsidP="007D0A19">
    <w:pPr>
      <w:pStyle w:val="Nagwek"/>
      <w:jc w:val="center"/>
      <w:rPr>
        <w:rFonts w:hint="eastAsia"/>
      </w:rPr>
    </w:pPr>
    <w:r>
      <w:rPr>
        <w:lang w:eastAsia="pl-PL" w:bidi="ar-SA"/>
      </w:rPr>
      <w:drawing>
        <wp:anchor distT="0" distB="0" distL="114300" distR="114300" simplePos="0" relativeHeight="251658240" behindDoc="0" locked="0" layoutInCell="1" allowOverlap="1" wp14:anchorId="44A18BD9" wp14:editId="047EE9E3">
          <wp:simplePos x="0" y="0"/>
          <wp:positionH relativeFrom="margin">
            <wp:align>center</wp:align>
          </wp:positionH>
          <wp:positionV relativeFrom="paragraph">
            <wp:posOffset>-120218</wp:posOffset>
          </wp:positionV>
          <wp:extent cx="5541792" cy="694901"/>
          <wp:effectExtent l="0" t="0" r="1905" b="0"/>
          <wp:wrapTopAndBottom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ypy do proced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1792" cy="6949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542"/>
    <w:multiLevelType w:val="multilevel"/>
    <w:tmpl w:val="F5F44340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1356CB4"/>
    <w:multiLevelType w:val="hybridMultilevel"/>
    <w:tmpl w:val="711A5980"/>
    <w:lvl w:ilvl="0" w:tplc="0A1417D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336F9"/>
    <w:multiLevelType w:val="multilevel"/>
    <w:tmpl w:val="45F42C1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9244C01"/>
    <w:multiLevelType w:val="hybridMultilevel"/>
    <w:tmpl w:val="AF5E16DE"/>
    <w:lvl w:ilvl="0" w:tplc="99E8DC9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4F16"/>
    <w:multiLevelType w:val="multilevel"/>
    <w:tmpl w:val="970E7F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6366800"/>
    <w:multiLevelType w:val="hybridMultilevel"/>
    <w:tmpl w:val="325C411C"/>
    <w:lvl w:ilvl="0" w:tplc="2A8A59D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08B64FB"/>
    <w:multiLevelType w:val="hybridMultilevel"/>
    <w:tmpl w:val="9A24C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51B03"/>
    <w:multiLevelType w:val="hybridMultilevel"/>
    <w:tmpl w:val="137CD8C4"/>
    <w:lvl w:ilvl="0" w:tplc="43929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E01CC"/>
    <w:multiLevelType w:val="hybridMultilevel"/>
    <w:tmpl w:val="3A5411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22B35"/>
    <w:multiLevelType w:val="hybridMultilevel"/>
    <w:tmpl w:val="043E30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93528"/>
    <w:multiLevelType w:val="multilevel"/>
    <w:tmpl w:val="FA80BF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C2253F5"/>
    <w:multiLevelType w:val="multilevel"/>
    <w:tmpl w:val="39D2A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32677E0"/>
    <w:multiLevelType w:val="hybridMultilevel"/>
    <w:tmpl w:val="2668A85A"/>
    <w:lvl w:ilvl="0" w:tplc="2A8A5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9560C"/>
    <w:multiLevelType w:val="hybridMultilevel"/>
    <w:tmpl w:val="A9BAE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941B9"/>
    <w:multiLevelType w:val="multilevel"/>
    <w:tmpl w:val="19E4C8D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3"/>
  </w:num>
  <w:num w:numId="5">
    <w:abstractNumId w:val="6"/>
  </w:num>
  <w:num w:numId="6">
    <w:abstractNumId w:val="11"/>
  </w:num>
  <w:num w:numId="7">
    <w:abstractNumId w:val="4"/>
  </w:num>
  <w:num w:numId="8">
    <w:abstractNumId w:val="0"/>
  </w:num>
  <w:num w:numId="9">
    <w:abstractNumId w:val="14"/>
  </w:num>
  <w:num w:numId="10">
    <w:abstractNumId w:val="2"/>
  </w:num>
  <w:num w:numId="11">
    <w:abstractNumId w:val="7"/>
  </w:num>
  <w:num w:numId="12">
    <w:abstractNumId w:val="9"/>
  </w:num>
  <w:num w:numId="13">
    <w:abstractNumId w:val="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A19"/>
    <w:rsid w:val="00003031"/>
    <w:rsid w:val="00011101"/>
    <w:rsid w:val="0001318C"/>
    <w:rsid w:val="00027FEC"/>
    <w:rsid w:val="0003517D"/>
    <w:rsid w:val="00036D39"/>
    <w:rsid w:val="00055ABF"/>
    <w:rsid w:val="000562B4"/>
    <w:rsid w:val="00060B24"/>
    <w:rsid w:val="00075B4B"/>
    <w:rsid w:val="000A4760"/>
    <w:rsid w:val="000D0861"/>
    <w:rsid w:val="000E14F4"/>
    <w:rsid w:val="000E2308"/>
    <w:rsid w:val="000E3BE9"/>
    <w:rsid w:val="000F4E3B"/>
    <w:rsid w:val="0013554F"/>
    <w:rsid w:val="00175AE3"/>
    <w:rsid w:val="00175EC0"/>
    <w:rsid w:val="001829E3"/>
    <w:rsid w:val="001B33B1"/>
    <w:rsid w:val="001B7011"/>
    <w:rsid w:val="001B7CBE"/>
    <w:rsid w:val="001D6F7A"/>
    <w:rsid w:val="001E7B50"/>
    <w:rsid w:val="002062AA"/>
    <w:rsid w:val="00232E96"/>
    <w:rsid w:val="00264B09"/>
    <w:rsid w:val="002732AE"/>
    <w:rsid w:val="002871F0"/>
    <w:rsid w:val="00296E78"/>
    <w:rsid w:val="002C556E"/>
    <w:rsid w:val="002E1570"/>
    <w:rsid w:val="002F1A65"/>
    <w:rsid w:val="00311205"/>
    <w:rsid w:val="00311F40"/>
    <w:rsid w:val="00315DA3"/>
    <w:rsid w:val="00337EB8"/>
    <w:rsid w:val="00343B9D"/>
    <w:rsid w:val="003D17F0"/>
    <w:rsid w:val="0040791E"/>
    <w:rsid w:val="00414925"/>
    <w:rsid w:val="00430786"/>
    <w:rsid w:val="00435F01"/>
    <w:rsid w:val="004416FE"/>
    <w:rsid w:val="00451D25"/>
    <w:rsid w:val="00456DC4"/>
    <w:rsid w:val="00482D24"/>
    <w:rsid w:val="00491AD6"/>
    <w:rsid w:val="004A317D"/>
    <w:rsid w:val="004B2105"/>
    <w:rsid w:val="004B6DA8"/>
    <w:rsid w:val="004C46E7"/>
    <w:rsid w:val="004C5403"/>
    <w:rsid w:val="00533347"/>
    <w:rsid w:val="00545EA4"/>
    <w:rsid w:val="00557A13"/>
    <w:rsid w:val="005704C2"/>
    <w:rsid w:val="005873D3"/>
    <w:rsid w:val="00591E26"/>
    <w:rsid w:val="005A30A8"/>
    <w:rsid w:val="005C2CD8"/>
    <w:rsid w:val="005E0E77"/>
    <w:rsid w:val="005E3C33"/>
    <w:rsid w:val="005E45D0"/>
    <w:rsid w:val="005F1648"/>
    <w:rsid w:val="005F6B01"/>
    <w:rsid w:val="006053B3"/>
    <w:rsid w:val="00605509"/>
    <w:rsid w:val="006061F4"/>
    <w:rsid w:val="006109F0"/>
    <w:rsid w:val="00620E7E"/>
    <w:rsid w:val="00621067"/>
    <w:rsid w:val="006555A1"/>
    <w:rsid w:val="00657A15"/>
    <w:rsid w:val="00677B66"/>
    <w:rsid w:val="00683043"/>
    <w:rsid w:val="00691974"/>
    <w:rsid w:val="006A58C2"/>
    <w:rsid w:val="006C63A4"/>
    <w:rsid w:val="006E3730"/>
    <w:rsid w:val="006F239F"/>
    <w:rsid w:val="00702B5B"/>
    <w:rsid w:val="0072056E"/>
    <w:rsid w:val="00722A68"/>
    <w:rsid w:val="00734BC2"/>
    <w:rsid w:val="00735EBD"/>
    <w:rsid w:val="007400C4"/>
    <w:rsid w:val="007442DE"/>
    <w:rsid w:val="00771192"/>
    <w:rsid w:val="00771431"/>
    <w:rsid w:val="0077329B"/>
    <w:rsid w:val="007D0A19"/>
    <w:rsid w:val="007E3371"/>
    <w:rsid w:val="008041AB"/>
    <w:rsid w:val="00824983"/>
    <w:rsid w:val="0082612F"/>
    <w:rsid w:val="00863BDA"/>
    <w:rsid w:val="008658B5"/>
    <w:rsid w:val="008756D4"/>
    <w:rsid w:val="00895A62"/>
    <w:rsid w:val="008F44BA"/>
    <w:rsid w:val="00933F26"/>
    <w:rsid w:val="00941E3D"/>
    <w:rsid w:val="00947F86"/>
    <w:rsid w:val="009734EB"/>
    <w:rsid w:val="00973709"/>
    <w:rsid w:val="00984849"/>
    <w:rsid w:val="00990820"/>
    <w:rsid w:val="009A393C"/>
    <w:rsid w:val="009A4AA9"/>
    <w:rsid w:val="009A4D1B"/>
    <w:rsid w:val="009C4DF8"/>
    <w:rsid w:val="009E291C"/>
    <w:rsid w:val="009E5833"/>
    <w:rsid w:val="009F0CC5"/>
    <w:rsid w:val="00A16BEE"/>
    <w:rsid w:val="00A22FD3"/>
    <w:rsid w:val="00A44B0B"/>
    <w:rsid w:val="00A52027"/>
    <w:rsid w:val="00A52C6D"/>
    <w:rsid w:val="00A95AE1"/>
    <w:rsid w:val="00AD2E43"/>
    <w:rsid w:val="00B217CA"/>
    <w:rsid w:val="00B27EDA"/>
    <w:rsid w:val="00B5579A"/>
    <w:rsid w:val="00B63201"/>
    <w:rsid w:val="00B83055"/>
    <w:rsid w:val="00B8338E"/>
    <w:rsid w:val="00B8754D"/>
    <w:rsid w:val="00B94452"/>
    <w:rsid w:val="00B955E9"/>
    <w:rsid w:val="00BA01E5"/>
    <w:rsid w:val="00BA4151"/>
    <w:rsid w:val="00BE3CD7"/>
    <w:rsid w:val="00C033CA"/>
    <w:rsid w:val="00C216CE"/>
    <w:rsid w:val="00C447C5"/>
    <w:rsid w:val="00C55A9F"/>
    <w:rsid w:val="00C56B73"/>
    <w:rsid w:val="00C81E09"/>
    <w:rsid w:val="00C955B1"/>
    <w:rsid w:val="00CC35DE"/>
    <w:rsid w:val="00CC4BAF"/>
    <w:rsid w:val="00CD4379"/>
    <w:rsid w:val="00D13E53"/>
    <w:rsid w:val="00D33FB6"/>
    <w:rsid w:val="00D525A9"/>
    <w:rsid w:val="00D727C8"/>
    <w:rsid w:val="00D82367"/>
    <w:rsid w:val="00D92955"/>
    <w:rsid w:val="00DE01D9"/>
    <w:rsid w:val="00DF0308"/>
    <w:rsid w:val="00E20EE1"/>
    <w:rsid w:val="00E35BBF"/>
    <w:rsid w:val="00E53C6F"/>
    <w:rsid w:val="00E64957"/>
    <w:rsid w:val="00E701BC"/>
    <w:rsid w:val="00E77E82"/>
    <w:rsid w:val="00E86EE6"/>
    <w:rsid w:val="00E8799A"/>
    <w:rsid w:val="00E92D92"/>
    <w:rsid w:val="00E94889"/>
    <w:rsid w:val="00E95C4A"/>
    <w:rsid w:val="00EB1E7A"/>
    <w:rsid w:val="00EC5D37"/>
    <w:rsid w:val="00EE7A28"/>
    <w:rsid w:val="00EF12E2"/>
    <w:rsid w:val="00F073CB"/>
    <w:rsid w:val="00F21C1B"/>
    <w:rsid w:val="00F26441"/>
    <w:rsid w:val="00F857B1"/>
    <w:rsid w:val="00F859A5"/>
    <w:rsid w:val="00F90F6F"/>
    <w:rsid w:val="00F94F11"/>
    <w:rsid w:val="00F9557A"/>
    <w:rsid w:val="00FD27D6"/>
    <w:rsid w:val="00FD5702"/>
    <w:rsid w:val="00FE221B"/>
    <w:rsid w:val="00FE58DD"/>
    <w:rsid w:val="00FF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20118"/>
  <w15:docId w15:val="{2B50304E-A43C-425E-B1B2-455661BB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7D0A1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noProof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qFormat/>
    <w:rsid w:val="007D0A19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customStyle="1" w:styleId="AkapitzlistZnak">
    <w:name w:val="Akapit z listą Znak"/>
    <w:link w:val="Akapitzlist"/>
    <w:qFormat/>
    <w:locked/>
    <w:rsid w:val="007D0A19"/>
    <w:rPr>
      <w:rFonts w:ascii="Calibri" w:eastAsia="Calibri" w:hAnsi="Calibri" w:cs="Times New Roman"/>
    </w:rPr>
  </w:style>
  <w:style w:type="paragraph" w:styleId="Nagwek">
    <w:name w:val="header"/>
    <w:basedOn w:val="Normalny"/>
    <w:link w:val="NagwekZnak"/>
    <w:uiPriority w:val="99"/>
    <w:unhideWhenUsed/>
    <w:rsid w:val="007D0A19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7D0A1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7D0A19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7D0A1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table" w:styleId="Tabela-Siatka">
    <w:name w:val="Table Grid"/>
    <w:basedOn w:val="Standardowy"/>
    <w:uiPriority w:val="59"/>
    <w:rsid w:val="008F4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F44BA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eastAsia="en-US" w:bidi="ar-SA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F44B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F44BA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55A9F"/>
    <w:rPr>
      <w:rFonts w:ascii="Segoe UI" w:hAnsi="Segoe UI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5A9F"/>
    <w:rPr>
      <w:rFonts w:ascii="Segoe UI" w:eastAsia="SimSun" w:hAnsi="Segoe UI" w:cs="Mangal"/>
      <w:kern w:val="3"/>
      <w:sz w:val="18"/>
      <w:szCs w:val="16"/>
      <w:lang w:eastAsia="zh-CN" w:bidi="hi-IN"/>
    </w:rPr>
  </w:style>
  <w:style w:type="paragraph" w:styleId="Poprawka">
    <w:name w:val="Revision"/>
    <w:hidden/>
    <w:uiPriority w:val="99"/>
    <w:semiHidden/>
    <w:rsid w:val="00E95C4A"/>
    <w:pPr>
      <w:spacing w:after="0" w:line="240" w:lineRule="auto"/>
    </w:pPr>
    <w:rPr>
      <w:rFonts w:ascii="Liberation Serif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525A9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customStyle="1" w:styleId="Default">
    <w:name w:val="Default"/>
    <w:basedOn w:val="Standard"/>
    <w:rsid w:val="00D525A9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Standard"/>
    <w:rsid w:val="00D525A9"/>
    <w:pPr>
      <w:suppressLineNumbers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9295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2955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2955"/>
    <w:rPr>
      <w:rFonts w:ascii="Liberation Serif" w:hAnsi="Liberation Serif" w:cs="Mangal"/>
      <w:noProof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295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2955"/>
    <w:rPr>
      <w:rFonts w:ascii="Liberation Serif" w:hAnsi="Liberation Serif" w:cs="Mangal"/>
      <w:b/>
      <w:bCs/>
      <w:noProof/>
      <w:kern w:val="3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8D5E6-DD3F-4850-8A89-E7563811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1990</Words>
  <Characters>11942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cp:keywords/>
  <dc:description/>
  <cp:lastModifiedBy>LGD</cp:lastModifiedBy>
  <cp:revision>17</cp:revision>
  <dcterms:created xsi:type="dcterms:W3CDTF">2019-12-18T07:44:00Z</dcterms:created>
  <dcterms:modified xsi:type="dcterms:W3CDTF">2021-06-16T09:53:00Z</dcterms:modified>
</cp:coreProperties>
</file>