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7C5" w:rsidRDefault="005E45D0" w:rsidP="00C447C5">
      <w:pPr>
        <w:spacing w:line="0" w:lineRule="atLeast"/>
        <w:ind w:right="40"/>
        <w:jc w:val="right"/>
        <w:rPr>
          <w:rFonts w:asciiTheme="minorHAnsi" w:hAnsiTheme="minorHAnsi" w:cstheme="minorHAnsi"/>
          <w:bCs/>
          <w:i/>
          <w:iCs/>
          <w:noProof w:val="0"/>
          <w:kern w:val="0"/>
          <w:sz w:val="20"/>
          <w:szCs w:val="20"/>
          <w:lang w:eastAsia="pl-PL" w:bidi="ar-SA"/>
        </w:rPr>
      </w:pP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  <w:r w:rsidR="00C447C5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Załącznik nr </w:t>
      </w:r>
      <w:r w:rsidR="00C447C5">
        <w:rPr>
          <w:rFonts w:asciiTheme="minorHAnsi" w:hAnsiTheme="minorHAnsi" w:cstheme="minorHAnsi"/>
          <w:bCs/>
          <w:i/>
          <w:iCs/>
          <w:sz w:val="20"/>
          <w:szCs w:val="20"/>
        </w:rPr>
        <w:t>7</w:t>
      </w:r>
      <w:bookmarkStart w:id="0" w:name="_GoBack"/>
      <w:bookmarkEnd w:id="0"/>
      <w:r w:rsidR="00C447C5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do Ogłoszenia o naborze 2019/G/1</w:t>
      </w:r>
    </w:p>
    <w:p w:rsidR="00D525A9" w:rsidRPr="006053B3" w:rsidRDefault="00D525A9" w:rsidP="00D525A9">
      <w:pPr>
        <w:tabs>
          <w:tab w:val="left" w:pos="4125"/>
        </w:tabs>
        <w:jc w:val="center"/>
        <w:rPr>
          <w:rFonts w:ascii="Calibri" w:hAnsi="Calibri"/>
          <w:b/>
          <w:sz w:val="22"/>
          <w:szCs w:val="22"/>
        </w:rPr>
      </w:pPr>
    </w:p>
    <w:p w:rsidR="00D525A9" w:rsidRPr="006053B3" w:rsidRDefault="00D525A9" w:rsidP="00D525A9">
      <w:pPr>
        <w:pStyle w:val="Standard"/>
        <w:rPr>
          <w:rFonts w:ascii="Calibri" w:hAnsi="Calibri"/>
          <w:b/>
          <w:sz w:val="22"/>
          <w:szCs w:val="22"/>
          <w:lang w:val="pl-PL"/>
        </w:rPr>
      </w:pPr>
    </w:p>
    <w:p w:rsidR="001B33B1" w:rsidRPr="006053B3" w:rsidRDefault="001B33B1" w:rsidP="00D525A9">
      <w:pPr>
        <w:pStyle w:val="Standard"/>
        <w:rPr>
          <w:rFonts w:ascii="Calibri" w:eastAsia="Calibri, Calibri" w:hAnsi="Calibri" w:cs="Calibri, Calibri"/>
          <w:color w:val="000000"/>
          <w:sz w:val="20"/>
          <w:szCs w:val="20"/>
          <w:lang w:val="pl-PL"/>
        </w:rPr>
      </w:pPr>
      <w:r w:rsidRPr="006053B3">
        <w:rPr>
          <w:rFonts w:ascii="Calibri" w:eastAsia="Calibri, Calibri" w:hAnsi="Calibri" w:cs="Calibri, Calibri"/>
          <w:b/>
          <w:color w:val="000000"/>
          <w:sz w:val="22"/>
          <w:szCs w:val="22"/>
          <w:lang w:val="pl-PL"/>
        </w:rPr>
        <w:t>KATALOG MAKSYMALNYCH</w:t>
      </w:r>
      <w:r w:rsidR="0077329B" w:rsidRPr="006053B3">
        <w:rPr>
          <w:rFonts w:ascii="Calibri" w:eastAsia="Calibri, Calibri" w:hAnsi="Calibri" w:cs="Calibri, Calibri"/>
          <w:b/>
          <w:color w:val="000000"/>
          <w:sz w:val="22"/>
          <w:szCs w:val="22"/>
          <w:lang w:val="pl-PL"/>
        </w:rPr>
        <w:t xml:space="preserve"> STAWEK</w:t>
      </w:r>
    </w:p>
    <w:p w:rsidR="00D525A9" w:rsidRPr="006053B3" w:rsidRDefault="00D525A9" w:rsidP="00691974">
      <w:pPr>
        <w:pStyle w:val="Standard"/>
        <w:numPr>
          <w:ilvl w:val="0"/>
          <w:numId w:val="12"/>
        </w:numPr>
        <w:jc w:val="both"/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</w:pP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Stowarzyszenie Lokalna Grupa Działania Chełmno (dalej: LGD) w ramach Regionalnego Programu Operacyjnego Województwa Kujawsko-Pomorskiego na lata 2014-2020 określiło „Katalog maksymalnych stawek” (dalej: Katalog) obowiązujący dla wyżej wskazanego naboru wniosków. Wprowadzenie niniejszego mechanizmu ma zagwarantować jednolite podejście LGD do przeprowadzenia oceny budżetów przyjętych przez </w:t>
      </w:r>
      <w:r w:rsidR="00BA4151"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>Grantobiorców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 oraz służyć temu, aby zatwierdzone przez LGD wydatki były efektywne oraz poniesione w racjonalnej wysokości, tzn. niezawyżone w stosunku do stawek rynkowych, a także ponoszone zgodnie z zasadą należytego zarządzania finansami.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 </w:t>
      </w:r>
    </w:p>
    <w:p w:rsidR="005F6B01" w:rsidRPr="006053B3" w:rsidRDefault="005F6B01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>Kwoty ujęte w zestawieniu uwzględniają wartość brutto wydatku (z wyjątkiem wynagrodzeń, które są szacowane z uwzględnieniem kosztów pracodawcy).</w:t>
      </w:r>
    </w:p>
    <w:p w:rsidR="00BA4151" w:rsidRPr="006053B3" w:rsidRDefault="005F6B01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>Godzina ujęta w zestawieniu, co do zasady</w:t>
      </w:r>
      <w:r w:rsidR="0082612F" w:rsidRPr="006053B3">
        <w:rPr>
          <w:rFonts w:asciiTheme="minorHAnsi" w:hAnsiTheme="minorHAnsi" w:cstheme="minorHAnsi"/>
          <w:sz w:val="20"/>
          <w:szCs w:val="20"/>
        </w:rPr>
        <w:t>,</w:t>
      </w:r>
      <w:r w:rsidRPr="006053B3">
        <w:rPr>
          <w:rFonts w:asciiTheme="minorHAnsi" w:hAnsiTheme="minorHAnsi" w:cstheme="minorHAnsi"/>
          <w:sz w:val="20"/>
          <w:szCs w:val="20"/>
        </w:rPr>
        <w:t xml:space="preserve"> oznacza godzinę zegarową (tj. 60 minut), chyba że w zestawieniu wskazano inaczej.</w:t>
      </w:r>
    </w:p>
    <w:p w:rsidR="00BA4151" w:rsidRPr="006053B3" w:rsidRDefault="00D525A9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Katalog określa najczęściej występujące koszty, jednak nie stanowi katalogu zamkniętego, czyli dopuszczalne jest ujmowanie innych kosztów, niewskazanych w powyższym Katalogu, które są niezbędne do realizacji projektu. Stawki wyszczególnione w Katalogu są stawkami maksymalnymi, jednak nie oznacza to automatycznego zaakceptowania przez LGD stawek założonych na ich maksymalnym poziomie</w:t>
      </w:r>
      <w:r w:rsidR="006061F4" w:rsidRPr="006053B3">
        <w:rPr>
          <w:rFonts w:asciiTheme="minorHAnsi" w:hAnsiTheme="minorHAnsi" w:cstheme="minorHAnsi"/>
          <w:sz w:val="20"/>
          <w:szCs w:val="20"/>
        </w:rPr>
        <w:t xml:space="preserve">. 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Przyjęcie stawki maksymalnej nie oznacza również, że będzie ona akceptowana przez LGD w każdym projekcie. Przy ocenie budżetu danego projektu będą brane pod uwagę m.in. takie czynniki, jak</w:t>
      </w:r>
      <w:r w:rsidR="0082612F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: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 xml:space="preserve"> stopień złożoności projektu czy wielkość grupy docelowej oraz czy koszty poniesiono w wysokości racjonalnej odpowiadającej wartościom rynkowym towarów i usług.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Grantobiorca winien uzasadnić ich racjonalność, załączając do wniosku o powierzenie grantu co najmniej 2 dokumenty uzasadniające przyjęty poziom cenowy (np. oferty cenowe, katalogi cenowe, wydruki ze stron www, itp.). Brak dokumentów uzasadniających poziom cen skutkuje uznaniem danego kosztu za niekwalifikowalny. Gra</w:t>
      </w:r>
      <w:r w:rsidR="00B63201" w:rsidRPr="006053B3">
        <w:rPr>
          <w:rFonts w:asciiTheme="minorHAnsi" w:hAnsiTheme="minorHAnsi" w:cstheme="minorHAnsi"/>
          <w:sz w:val="20"/>
          <w:szCs w:val="20"/>
        </w:rPr>
        <w:t>n</w:t>
      </w:r>
      <w:r w:rsidR="005F6B01" w:rsidRPr="006053B3">
        <w:rPr>
          <w:rFonts w:asciiTheme="minorHAnsi" w:hAnsiTheme="minorHAnsi" w:cstheme="minorHAnsi"/>
          <w:sz w:val="20"/>
          <w:szCs w:val="20"/>
        </w:rPr>
        <w:t>tobiorca może dodatkowo załączyć do wniosku o powierzenie grantu kalkulacje cenowe dot. np. kosztu zakupu materiałów na warsztaty dla uczestników</w:t>
      </w:r>
      <w:r w:rsidR="0082612F" w:rsidRPr="006053B3">
        <w:rPr>
          <w:rFonts w:asciiTheme="minorHAnsi" w:hAnsiTheme="minorHAnsi" w:cstheme="minorHAnsi"/>
          <w:sz w:val="20"/>
          <w:szCs w:val="20"/>
        </w:rPr>
        <w:t>,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gdy koszt jest składową kilku elementów. 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Nie ma możliwości zaplanowania w projekcie stawek wyższych, niż przewidziane w Katalogu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dla danych rodzajów kosztów.</w:t>
      </w:r>
    </w:p>
    <w:p w:rsidR="00BA4151" w:rsidRPr="006053B3" w:rsidRDefault="00D525A9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LGD zobowiązane jest do dokonywania oceny wydatków ujętych w budżetach projektów. </w:t>
      </w:r>
      <w:r w:rsidR="006061F4" w:rsidRPr="006053B3">
        <w:rPr>
          <w:rFonts w:asciiTheme="minorHAnsi" w:hAnsiTheme="minorHAnsi" w:cstheme="minorHAnsi"/>
          <w:sz w:val="20"/>
          <w:szCs w:val="20"/>
        </w:rPr>
        <w:t>LGD b</w:t>
      </w:r>
      <w:r w:rsidRPr="006053B3">
        <w:rPr>
          <w:rFonts w:asciiTheme="minorHAnsi" w:hAnsiTheme="minorHAnsi" w:cstheme="minorHAnsi"/>
          <w:sz w:val="20"/>
          <w:szCs w:val="20"/>
        </w:rPr>
        <w:t>ędzie weryfikować:</w:t>
      </w:r>
    </w:p>
    <w:p w:rsidR="00BA4151" w:rsidRPr="006053B3" w:rsidRDefault="00D525A9" w:rsidP="00691974">
      <w:pPr>
        <w:pStyle w:val="Akapitzlist"/>
        <w:numPr>
          <w:ilvl w:val="0"/>
          <w:numId w:val="13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kwalifikowalność wydatków pod kątem zgodności z </w:t>
      </w:r>
      <w:r w:rsidRPr="006053B3">
        <w:rPr>
          <w:rFonts w:asciiTheme="minorHAnsi" w:hAnsiTheme="minorHAnsi" w:cstheme="minorHAnsi"/>
          <w:i/>
          <w:iCs/>
          <w:sz w:val="20"/>
          <w:szCs w:val="20"/>
        </w:rPr>
        <w:t>Wytycznymi w zakresie kwalifikowalności wydatków w ramach Europejskiego Funduszu Rozwoju Regionalnego, Europejskiego Funduszu Społecznego oraz Funduszu Spójności na lata 2014-2020</w:t>
      </w:r>
      <w:r w:rsidRPr="006053B3">
        <w:rPr>
          <w:rFonts w:asciiTheme="minorHAnsi" w:hAnsiTheme="minorHAnsi" w:cstheme="minorHAnsi"/>
          <w:sz w:val="20"/>
          <w:szCs w:val="20"/>
        </w:rPr>
        <w:t>,</w:t>
      </w:r>
    </w:p>
    <w:p w:rsidR="00BA4151" w:rsidRPr="006053B3" w:rsidRDefault="00D525A9" w:rsidP="00691974">
      <w:pPr>
        <w:pStyle w:val="Akapitzlist"/>
        <w:numPr>
          <w:ilvl w:val="0"/>
          <w:numId w:val="13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prawidłowość sporządzenia budżetu projektu, w szczególności: </w:t>
      </w:r>
    </w:p>
    <w:p w:rsidR="00D525A9" w:rsidRPr="006053B3" w:rsidRDefault="00D525A9" w:rsidP="00691974">
      <w:pPr>
        <w:pStyle w:val="Akapitzlist"/>
        <w:numPr>
          <w:ilvl w:val="0"/>
          <w:numId w:val="14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>niezbędność planowanych wydatków w budżecie projektu:</w:t>
      </w:r>
    </w:p>
    <w:p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czy wynikają one bezpośrednio z opisanych działań oraz przyczyniają się do osiągnięcia produktów i rezultatów projektu,</w:t>
      </w:r>
    </w:p>
    <w:p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c</w:t>
      </w: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>zy nie ujęto wydatków, które wykazano jako potencjał wnioskodawcy (chyba że stanowią wkład własny),</w:t>
      </w:r>
    </w:p>
    <w:p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>czy są adekwatne do zakresu i specyfiki projektu, czasu jego realizacji,</w:t>
      </w:r>
    </w:p>
    <w:p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czy są zgodne z </w:t>
      </w:r>
      <w:r w:rsidRPr="006053B3">
        <w:rPr>
          <w:rFonts w:asciiTheme="minorHAnsi" w:hAnsiTheme="minorHAnsi" w:cstheme="minorHAnsi"/>
          <w:i/>
          <w:sz w:val="20"/>
          <w:szCs w:val="20"/>
          <w:lang w:val="pl-PL"/>
        </w:rPr>
        <w:t>Wytycznymi w zakresie kwalifikowania wydatków w ramach Europejskiego Funduszu Rozwoju Regionalnego, Europejskiego Funduszu Społecznego oraz Funduszu Spójności na lata 2014-2020</w:t>
      </w:r>
      <w:r w:rsidRPr="006053B3">
        <w:rPr>
          <w:rFonts w:asciiTheme="minorHAnsi" w:hAnsiTheme="minorHAnsi" w:cstheme="minorHAnsi"/>
          <w:sz w:val="20"/>
          <w:szCs w:val="20"/>
          <w:lang w:val="pl-PL"/>
        </w:rPr>
        <w:t>,</w:t>
      </w:r>
    </w:p>
    <w:p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 xml:space="preserve"> czy są zgodne z zapisami ogłoszenia o naborze.</w:t>
      </w:r>
    </w:p>
    <w:p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</w:p>
    <w:p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Wszystkie wskazane powyżej kwestie oceniane są łącznie. LGD informuje, że w przypadku zidentyfikowania przez oceniającego wydatków niekwalifikowanych lub wydatków w wysokości zawyżonej w stosunku do stawek rynkowych, </w:t>
      </w:r>
      <w:r w:rsidR="00BA4151" w:rsidRPr="006053B3">
        <w:rPr>
          <w:rFonts w:asciiTheme="minorHAnsi" w:hAnsiTheme="minorHAnsi" w:cstheme="minorHAnsi"/>
          <w:noProof/>
          <w:sz w:val="20"/>
          <w:szCs w:val="20"/>
          <w:lang w:val="pl-PL"/>
        </w:rPr>
        <w:t>kwota</w:t>
      </w:r>
      <w:r w:rsidR="00BA4151"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 grantu może ulec zmniejszeniu.</w:t>
      </w:r>
    </w:p>
    <w:p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Mając na uwadze powyższe, przy planowaniu wydatków wnioskodawca powinien kierować się zasadą, aby ujęty w budżecie koszt był niezbędny do realizacji celów projektów i został dokonany w sposób przejrzysty, racjonalny i efektywny, z zachowaniem zasad uzyskiwania najlepszych efektów z danych nakładów.</w:t>
      </w:r>
    </w:p>
    <w:p w:rsidR="00D525A9" w:rsidRPr="006053B3" w:rsidRDefault="00D525A9" w:rsidP="00D525A9">
      <w:pPr>
        <w:pStyle w:val="Default"/>
        <w:rPr>
          <w:rFonts w:asciiTheme="minorHAnsi" w:hAnsiTheme="minorHAnsi" w:cstheme="minorHAnsi"/>
          <w:sz w:val="20"/>
          <w:szCs w:val="20"/>
          <w:lang w:val="pl-PL"/>
        </w:rPr>
      </w:pPr>
    </w:p>
    <w:p w:rsidR="00D525A9" w:rsidRPr="006053B3" w:rsidRDefault="00D525A9" w:rsidP="00D525A9">
      <w:pPr>
        <w:pStyle w:val="Default"/>
        <w:rPr>
          <w:rFonts w:ascii="Calibri" w:hAnsi="Calibri"/>
          <w:color w:val="FF0000"/>
          <w:sz w:val="22"/>
          <w:szCs w:val="22"/>
          <w:lang w:val="pl-PL"/>
        </w:rPr>
      </w:pPr>
    </w:p>
    <w:tbl>
      <w:tblPr>
        <w:tblW w:w="145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"/>
        <w:gridCol w:w="2647"/>
        <w:gridCol w:w="1560"/>
        <w:gridCol w:w="5228"/>
        <w:gridCol w:w="4031"/>
      </w:tblGrid>
      <w:tr w:rsidR="00D525A9" w:rsidRPr="006053B3" w:rsidTr="007442DE"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LP.</w:t>
            </w:r>
          </w:p>
        </w:tc>
        <w:tc>
          <w:tcPr>
            <w:tcW w:w="2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Nazwa kosztu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Jednostka miary</w:t>
            </w:r>
          </w:p>
        </w:tc>
        <w:tc>
          <w:tcPr>
            <w:tcW w:w="5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Maksymalny dopuszczalny koszt (W ZŁOTYCH)</w:t>
            </w:r>
          </w:p>
        </w:tc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Podstawa kosztu/Wyjaśnienie</w:t>
            </w:r>
          </w:p>
        </w:tc>
      </w:tr>
      <w:tr w:rsidR="00D525A9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Psycholog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7442DE" w:rsidRDefault="00941E3D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  <w:r w:rsidR="006053B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etat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7442DE" w:rsidRDefault="00941E3D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  <w:r w:rsidR="006053B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5000,00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941E3D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 oznacza 60 min.</w:t>
            </w:r>
          </w:p>
        </w:tc>
      </w:tr>
      <w:tr w:rsidR="00D525A9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Psychoterapia indywidualna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 przypadku porady psychologa/terapeuta </w:t>
            </w:r>
            <w:r w:rsidR="00941E3D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“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Godzina” oznacza czas standardowej wizyty tj. 50 minut</w:t>
            </w:r>
          </w:p>
        </w:tc>
      </w:tr>
      <w:tr w:rsidR="00D525A9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Psychoterapia grupowa/rodzinna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EC5D37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przypadku porady psychologa/terapeuta “Godzina” oznacza czas standardowej wizyty tj. 50 minut</w:t>
            </w:r>
          </w:p>
        </w:tc>
      </w:tr>
      <w:tr w:rsidR="00D525A9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Terapeuta zajęciowy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13E5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Miesiąc/etat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4 200,00 zł etat 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D525A9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Poradnictwo specjalistyczne - logopeda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65,00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“Godzina” oznacza czas standardowej wizyty tj. 45 minut</w:t>
            </w:r>
          </w:p>
        </w:tc>
      </w:tr>
      <w:tr w:rsidR="006053B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53B3" w:rsidRPr="007442DE" w:rsidRDefault="006053B3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Poradnictwo specjalistyczne- terapia rodzinna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140,00 zł brutto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53B3" w:rsidRPr="006053B3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  <w:t>-</w:t>
            </w:r>
          </w:p>
        </w:tc>
      </w:tr>
      <w:tr w:rsidR="00D525A9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Poradnictwo specjalistyczne inne – socjoterapia, hipoterapia, inne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B83055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D525A9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Prawnik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  <w:r w:rsidR="00B83055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Asystent osoby niepełnosprawnej/ opiekun osoby zależnej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7442DE">
            <w:pPr>
              <w:pStyle w:val="TableContents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Wynagrodzenie za pracę/stawka za godzinę pracy osób bezpośrednio świadczącej usługi społeczne w projekcie nie mogą być niższe od minimalnego wynagrodzenia za pracę/ minimalnej stawki godzinowej ustalonych na podstawie przepisów o minimalnym wynagrodzeniu za pracę. Zapis nie dotyczy osób świadczący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c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h usługi 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nieodpłatnie.</w:t>
            </w:r>
          </w:p>
          <w:p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3 800,00zł 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Wymagania:</w:t>
            </w:r>
          </w:p>
          <w:p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Warunkiem zatrudnienia AON jest ukończenie kształcenie w zawodzie asystenta osoby niepełnosprawnej zgodnie z rozporządzeniem Ministra Edukacji Narodowej z dnia 7 lutego 2012 r. w 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sprawie podstawy programowej kształcenia w zawodach (Dz.U. poz. 184, ze zm.).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Rehabilitant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60,00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9E583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Dietetyk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90,00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9E583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Wynagrodzenie trenera pracy/tutora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70,00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9E583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591E26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piekun</w:t>
            </w:r>
            <w:r w:rsidR="009E583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klub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u</w:t>
            </w:r>
            <w:r w:rsidR="009E583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młodzieżow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ego</w:t>
            </w:r>
            <w:r w:rsidR="009E583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świetlic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y</w:t>
            </w:r>
            <w:r w:rsidR="009E583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środowiskow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ej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3 000,00 zł etat (wynagrodzenie brutto z uwzględnieniem kosztów pracodawcy)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  <w:t>30,00 zł/ godzinę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Wymogi określone w standardzie klubu młodzieżowego</w:t>
            </w:r>
          </w:p>
        </w:tc>
      </w:tr>
      <w:tr w:rsidR="009E5833" w:rsidRPr="009E583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Pielęgniarka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4 600,00 zł 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/100,00 zł</w:t>
            </w:r>
            <w:r w:rsidR="007442DE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za godzinę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Wynagrodzenie brutto </w:t>
            </w:r>
            <w:r w:rsidR="00591E26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z uwzględnieniem 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kosztów pracodawcy</w:t>
            </w:r>
          </w:p>
        </w:tc>
      </w:tr>
      <w:tr w:rsidR="00990820" w:rsidRPr="009E583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Fizjoterapeuta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 5000,00 zł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/100,00 zł</w:t>
            </w:r>
            <w:r w:rsidR="007442DE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za godzinę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Wynagrodzenie brutto </w:t>
            </w:r>
            <w:r w:rsidR="00591E26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 uwzględnieniem kosztów pracodawcy</w:t>
            </w:r>
          </w:p>
        </w:tc>
      </w:tr>
      <w:tr w:rsidR="00990820" w:rsidRPr="009E583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Trenerzy/ organizatorzy zajęć sportowych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70,00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0820" w:rsidRPr="007442DE" w:rsidRDefault="00591E26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Transport – wynajem aut/ busa</w:t>
            </w:r>
            <w:r w:rsidR="00264B09"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/autokaru</w:t>
            </w:r>
            <w:r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 do </w:t>
            </w:r>
            <w:r w:rsidRPr="007442DE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przewożenia uczestników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Kilometr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7442D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br/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4,50</w:t>
            </w:r>
            <w:r w:rsidR="00264B09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zł</w:t>
            </w:r>
            <w:r w:rsidR="00264B09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/km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Szkolenia/warsztaty/ spotkania/poradnictwo </w:t>
            </w:r>
            <w:r w:rsidR="00591E26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z zakresu instrumentów aktywizacji społecznej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Koszt uzależniony od zaplanowanej liczby godzin zakresu wsparcia, przy czym:</w:t>
            </w:r>
          </w:p>
          <w:p w:rsidR="009E5833" w:rsidRPr="006053B3" w:rsidRDefault="009E5833" w:rsidP="009E5833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maksymalny godzinowy koszt trenera, osoby prowadzącej to 100,00 zł brutto;</w:t>
            </w:r>
          </w:p>
          <w:p w:rsidR="009E5833" w:rsidRPr="006053B3" w:rsidRDefault="009E5833" w:rsidP="009E5833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maksymalny dzienny koszt szkolenia 8-godzinnego w przypadku szkoleń zleconych (cena zawiera koszt trenera, sali, cateringu i materiałów) to 1500,00 zł brutto;</w:t>
            </w:r>
          </w:p>
          <w:p w:rsidR="009E5833" w:rsidRPr="006053B3" w:rsidRDefault="009E5833" w:rsidP="009E5833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maksymalny koszt przerwy kawowej 15,00 zł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>brutto (Wydatek nie powinien być kwalifikowany, jeżeli forma wsparcia w ramach której ma być świadczona przerwa kawowa dla tej samej grupy osób w danym dniu trwa krócej niż 4 godziny. Zakres: standardowa przerwa kawowa (kawa, herbata, woda, soki, ciastka, kanapki). Cena rynkowa powinna być uzależniona od rodzaju oferowanej usługi i jest niższa, jeśli finansowany jest mniejszy zakres usługi (np. kawa, herbata, woda, mleko, cukier cytryna bez drobnych lub słodkich przekąsek).</w:t>
            </w:r>
          </w:p>
          <w:p w:rsidR="009E5833" w:rsidRPr="006053B3" w:rsidRDefault="009E5833" w:rsidP="009E5833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maksymalny koszt przerwy obiadowej 35,00 zł brutto (Wyżywienie (obiad) – możliwość kwalifikowania wydatku powinna zostać ograniczona do projektów, w których wsparcie dla tej samej grupy osób w danym dniu trwa nie krócej niż 6 godzin. Zakres: obejmuje dwa dania (zupa i drugie danie), przy czym istnieje możliwość szerszego zakresu usługi, o ile mieści się w określonej cenie rynkowej. Cena rynkowa powinna być uzależniona od rodzaju oferowanej usługi i jest niższa, jeśli finansowany jest mniejszy zakres usługi (np. obiad składający się tylko </w:t>
            </w:r>
            <w:r w:rsidR="00591E2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z drugiego dania)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przypadku tego rodzaju kosztu w uzasadnieniu pod budżetem należy wskazać informacje nt.: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rodzaju planowanego instrumentu;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przewidywanej liczby uczestników;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przewidywanego czasu trwania – liczba godzin (w tym liczbę godzin wsparcia w ciągu dnia);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- podstawy oszacowania kosztu (np. doświadczenie </w:t>
            </w:r>
            <w:r w:rsidR="00591E2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realizacji tego typu wsparcia oraz przykładowy katalog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>kosztów z uwzględnieniem kosztów: trenera, cateringu, materiałów szkoleniowych).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Terapeuta np. uzależnień – umowa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cywilnoprawna</w:t>
            </w:r>
            <w:r w:rsidR="00264B09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/fv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115,00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-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Lider/ Animator lokalny – umowa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cywilnoprawna/fv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95,00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Specjaliści ds. resocjalizacji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70,00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Terapeuci grupowi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Warsztaty/zajęcia rękodzielnicze/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inne -prowadzący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70,00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Prowadzący zajęcia, warsztaty,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treningi profilaktyczne, terapeutyczne i inne niewyszczególnione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91E26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Poradnictwo pedagogiczne </w:t>
            </w:r>
          </w:p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i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psychologiczne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Zajęcia np. artystyczne,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usprawniające m.in. naukę czytania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60,00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C033CA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C033CA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Bilety do kina/ teatru/ zoo/ basen/ </w:t>
            </w:r>
            <w:r w:rsidRPr="00C033CA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park rozrywki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Zgodnie z cennikiem danej instytucji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rPr>
          <w:trHeight w:val="737"/>
        </w:trPr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Wynajem sal szkoleniowych: 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a)komputerowa z wyposażeniem ok. 8-15 osób;</w:t>
            </w:r>
          </w:p>
          <w:p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 xml:space="preserve">b)sala konferencyjna dla ok.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lastRenderedPageBreak/>
              <w:t>30-50 osób;</w:t>
            </w:r>
          </w:p>
          <w:p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c)sala szkoleniowa ok. 16-30 osób;</w:t>
            </w:r>
          </w:p>
          <w:p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d)sala szkoleniowa ok. 5-15 osób.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a) 60,00 zł;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b) 80,00 zł;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c) 50,00 zł</w:t>
            </w:r>
            <w:r w:rsidR="00264B09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;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d) 40,00 zł</w:t>
            </w:r>
            <w:r w:rsidR="00264B09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 xml:space="preserve">Obejmuje koszt wynajmu sali wyposażonej zgodnie z potrzebami projektu, m.in. stoły, krzesła, tablice, flipchart lub tablice suchościeralne, bezprzewodowy dostęp do Internetu oraz koszty utrzymania sali, w 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tym energii elektrycznej.</w:t>
            </w:r>
          </w:p>
          <w:p w:rsidR="009E5833" w:rsidRPr="006053B3" w:rsidRDefault="009E5833" w:rsidP="009E5833">
            <w:pPr>
              <w:pStyle w:val="TableContents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- 1 godzina wynajmu należy rozumieć jako godzinę zegarową (60 min.).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Materiały piśmiennicze/szkoleniowe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20,00 zł zestaw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na uczestnika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jest to uzasadnione specyfiką realizowanego projektu;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przewidziane są w ramach realizowanego projektu szkolenia/warsztaty/doradztwo;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obejmuje zestaw składający się z teczki, notesu, długopisu, wydruków;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cena rynkowa powinna być uzależniona od rodzaju oferowanej usługi i jest niższa, jeśli finansowany jest mniejszy zakres usługi (np. notes i długopis);</w:t>
            </w:r>
          </w:p>
          <w:p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cena nie obejmuje kosztu logotypów (objęte są kosztami administracyjnymi).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Materiały warsztatowe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40,00 zł na uczestnika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tym np. materiały na warsztaty rękodzielnicze, kulinarne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Wyżywienie (obiad)/lunch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35,00 zł na uczestnika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Zakres: obejmuje 2 dania (zupa i drugie danie), przy czym istnieje możliwość szerszego zakresu usługi, o ile mieści się w określonej cenie rynkowej. Cena rynkowa powinna być uzależniona od rodzaju oferowanej usługi i jest niższa, jeśli finansowany jest mniejszy zakres usługi (np. obiad składający się tylko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 drugiego dania).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Nocleg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80,00 zł za osobę w pokoju dwuosobowym ze śniadaniem;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120,00 zł za osobę w pokoju jednoosobowym ze śniadaniem.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Obejmuje nocleg, co do zasady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 pokojach 2- osobowych (nocleg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pokojach 1- osobowych jest kwalifikowalny tylko w uzasadnionych przypadkach).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Kolacja w przypadku organizacji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wsparcia z noclegiem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Laptop wraz </w:t>
            </w:r>
            <w:r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z oprogramowaniem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2 800,00 zł/sztuka w przypadku jednorazowego odpisu amortyzacyjnego</w:t>
            </w:r>
          </w:p>
          <w:p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laptopa jest niezbędne w celu wspomagania procesu wdrażania projektu (udzielania wsparcia uczestnikom projektu), nie do obsługi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projektu (co jest finansowane w ramach kosztów administracyjnych). Konieczność zakupu urządzenia powinna zostać uzasadniona we wniosku </w:t>
            </w:r>
            <w:r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 dofinansowanie projektu; -wydatek kwalifikowalny w wysokości odpowiadającej odpisom amortyzacyjnym, zgodnie z pkt 4 podrozdziału 6.12.1 Wytycznych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zakresie kwalifikowalności wydatków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ramach Europejskiego Funduszu Rozwoju Regionalnego, Europejskiego Funduszu Społecznego oraz Funduszu Spójności na lata 2014-2020;</w:t>
            </w:r>
          </w:p>
          <w:p w:rsidR="009E5833" w:rsidRPr="006053B3" w:rsidRDefault="009E5833" w:rsidP="009E583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- wydatek kwalifikowalny w przypadku, gdy wnioskodawca nie posiada wystarczającego zaplecza technicznego do udzielania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wsparcia uczestnikom projektu. Mając na uwadze powyższe konieczność dokonywania zakupu sprzętu może skutkować obniżeniem możliwej do uzyskania liczby punktów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ramach oceny potencjału wnioskodawcy; - wydatek kwalifikowalny, o ile laptop posiada parametry biurowe z oprogramowaniem systemowym i podstawowym pakietem biurowym (licencja na 12 miesięcy);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Projektor multimedialny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2 400,00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kwalifikowalny, o ile nabycie projektora multimedialnego jest niezbędne w celu wspomagania procesu wdrażania. Konieczność zakupu urządzenia powinna zostać uzasadniona w części wniosku dostępnej pod budżetem szczegółowym;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Ekran projekcyjny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430,00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ekranu projekcyjnego jest niezbędne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celu wspomagania procesu wdrażania. Konieczność zakupu urządzenia powinna zostać uzasadniona w części wniosku dostępnej pod budżetem szczegółowym;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Urządzenie wielofunkcyjne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1500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urządzenia wielofunkcyjnego jest niezbędne w celu wspomagania procesu wdrażania projektu (udzielania wsparcia uczestnikom projektu). Konieczność zakupu urządzenia powinna zostać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uzasadniona w części wniosku dostępnej pod budżetem szczegółowym;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urządzenie posiada min. funkcję druku, kserokopiarki, skanera;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Drukarka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400,00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Mikrofon</w:t>
            </w:r>
          </w:p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200,00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Kamera cyfrowa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1 400,00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Aparat fotograficzny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Aparat cyfrowy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Tablica flipchart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350,00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Tablica magnetyczna, suchościeralna</w:t>
            </w:r>
          </w:p>
        </w:tc>
      </w:tr>
      <w:tr w:rsidR="009E5833" w:rsidRPr="006053B3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Tablica magnetyczna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Minimalne wymiary 120 cm x 90 cm, powierzchnia suchościeralna</w:t>
            </w:r>
          </w:p>
        </w:tc>
      </w:tr>
    </w:tbl>
    <w:p w:rsidR="00C56B73" w:rsidRPr="006053B3" w:rsidRDefault="00C56B73">
      <w:pPr>
        <w:rPr>
          <w:rFonts w:ascii="Calibri" w:eastAsia="Calibri, Calibri" w:hAnsi="Calibri" w:cs="Calibri, Calibri"/>
          <w:noProof w:val="0"/>
          <w:color w:val="000000"/>
          <w:sz w:val="22"/>
          <w:szCs w:val="22"/>
        </w:rPr>
      </w:pPr>
    </w:p>
    <w:p w:rsidR="00F073CB" w:rsidRPr="006053B3" w:rsidRDefault="00F073CB">
      <w:pPr>
        <w:rPr>
          <w:rFonts w:asciiTheme="minorHAnsi" w:hAnsiTheme="minorHAnsi" w:cstheme="minorHAnsi"/>
          <w:sz w:val="20"/>
          <w:szCs w:val="20"/>
        </w:rPr>
      </w:pPr>
    </w:p>
    <w:sectPr w:rsidR="00F073CB" w:rsidRPr="006053B3" w:rsidSect="007D0A19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371" w:rsidRDefault="007E3371" w:rsidP="007D0A19">
      <w:r>
        <w:separator/>
      </w:r>
    </w:p>
  </w:endnote>
  <w:endnote w:type="continuationSeparator" w:id="0">
    <w:p w:rsidR="007E3371" w:rsidRDefault="007E3371" w:rsidP="007D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, Calibri">
    <w:altName w:val="Calibri"/>
    <w:charset w:val="00"/>
    <w:family w:val="swiss"/>
    <w:pitch w:val="default"/>
  </w:font>
  <w:font w:name="F">
    <w:charset w:val="00"/>
    <w:family w:val="roman"/>
    <w:pitch w:val="default"/>
  </w:font>
  <w:font w:name="Liberation Sans">
    <w:altName w:val="Arial"/>
    <w:charset w:val="EE"/>
    <w:family w:val="swiss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371" w:rsidRDefault="007E3371" w:rsidP="007D0A19">
      <w:r>
        <w:separator/>
      </w:r>
    </w:p>
  </w:footnote>
  <w:footnote w:type="continuationSeparator" w:id="0">
    <w:p w:rsidR="007E3371" w:rsidRDefault="007E3371" w:rsidP="007D0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A19" w:rsidRDefault="00620E7E" w:rsidP="007D0A19">
    <w:pPr>
      <w:pStyle w:val="Nagwek"/>
      <w:jc w:val="center"/>
    </w:pPr>
    <w:r>
      <w:rPr>
        <w:lang w:eastAsia="pl-PL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-120218</wp:posOffset>
          </wp:positionV>
          <wp:extent cx="5541792" cy="694901"/>
          <wp:effectExtent l="0" t="0" r="1905" b="0"/>
          <wp:wrapTopAndBottom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ypy do proced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1792" cy="694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542"/>
    <w:multiLevelType w:val="multilevel"/>
    <w:tmpl w:val="F5F4434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356CB4"/>
    <w:multiLevelType w:val="hybridMultilevel"/>
    <w:tmpl w:val="711A5980"/>
    <w:lvl w:ilvl="0" w:tplc="0A1417D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6F9"/>
    <w:multiLevelType w:val="multilevel"/>
    <w:tmpl w:val="45F42C1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9244C01"/>
    <w:multiLevelType w:val="hybridMultilevel"/>
    <w:tmpl w:val="AF5E16DE"/>
    <w:lvl w:ilvl="0" w:tplc="99E8DC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4F16"/>
    <w:multiLevelType w:val="multilevel"/>
    <w:tmpl w:val="970E7F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6366800"/>
    <w:multiLevelType w:val="hybridMultilevel"/>
    <w:tmpl w:val="325C411C"/>
    <w:lvl w:ilvl="0" w:tplc="2A8A59D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8B64FB"/>
    <w:multiLevelType w:val="hybridMultilevel"/>
    <w:tmpl w:val="9A24C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51B03"/>
    <w:multiLevelType w:val="hybridMultilevel"/>
    <w:tmpl w:val="137CD8C4"/>
    <w:lvl w:ilvl="0" w:tplc="4392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E01CC"/>
    <w:multiLevelType w:val="hybridMultilevel"/>
    <w:tmpl w:val="3A5411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22B35"/>
    <w:multiLevelType w:val="hybridMultilevel"/>
    <w:tmpl w:val="043E3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93528"/>
    <w:multiLevelType w:val="multilevel"/>
    <w:tmpl w:val="FA80BF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C2253F5"/>
    <w:multiLevelType w:val="multilevel"/>
    <w:tmpl w:val="39D2A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32677E0"/>
    <w:multiLevelType w:val="hybridMultilevel"/>
    <w:tmpl w:val="2668A85A"/>
    <w:lvl w:ilvl="0" w:tplc="2A8A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9560C"/>
    <w:multiLevelType w:val="hybridMultilevel"/>
    <w:tmpl w:val="A9BAE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941B9"/>
    <w:multiLevelType w:val="multilevel"/>
    <w:tmpl w:val="19E4C8D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3"/>
  </w:num>
  <w:num w:numId="5">
    <w:abstractNumId w:val="6"/>
  </w:num>
  <w:num w:numId="6">
    <w:abstractNumId w:val="11"/>
  </w:num>
  <w:num w:numId="7">
    <w:abstractNumId w:val="4"/>
  </w:num>
  <w:num w:numId="8">
    <w:abstractNumId w:val="0"/>
  </w:num>
  <w:num w:numId="9">
    <w:abstractNumId w:val="14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A19"/>
    <w:rsid w:val="00003031"/>
    <w:rsid w:val="00011101"/>
    <w:rsid w:val="0001318C"/>
    <w:rsid w:val="00027FEC"/>
    <w:rsid w:val="0003517D"/>
    <w:rsid w:val="00036D39"/>
    <w:rsid w:val="00055ABF"/>
    <w:rsid w:val="00060B24"/>
    <w:rsid w:val="00075B4B"/>
    <w:rsid w:val="000A4760"/>
    <w:rsid w:val="000D0861"/>
    <w:rsid w:val="000E2308"/>
    <w:rsid w:val="000E3BE9"/>
    <w:rsid w:val="000F4E3B"/>
    <w:rsid w:val="0013554F"/>
    <w:rsid w:val="00175AE3"/>
    <w:rsid w:val="00175EC0"/>
    <w:rsid w:val="001829E3"/>
    <w:rsid w:val="001B33B1"/>
    <w:rsid w:val="001B7011"/>
    <w:rsid w:val="001B7CBE"/>
    <w:rsid w:val="001D6F7A"/>
    <w:rsid w:val="002062AA"/>
    <w:rsid w:val="00232E96"/>
    <w:rsid w:val="00264B09"/>
    <w:rsid w:val="002732AE"/>
    <w:rsid w:val="00296E78"/>
    <w:rsid w:val="002C556E"/>
    <w:rsid w:val="002F1A65"/>
    <w:rsid w:val="00311205"/>
    <w:rsid w:val="00311F40"/>
    <w:rsid w:val="00315DA3"/>
    <w:rsid w:val="00337EB8"/>
    <w:rsid w:val="00343B9D"/>
    <w:rsid w:val="003D17F0"/>
    <w:rsid w:val="0040791E"/>
    <w:rsid w:val="00414925"/>
    <w:rsid w:val="00430786"/>
    <w:rsid w:val="004416FE"/>
    <w:rsid w:val="00451D25"/>
    <w:rsid w:val="00456DC4"/>
    <w:rsid w:val="00482D24"/>
    <w:rsid w:val="00491AD6"/>
    <w:rsid w:val="004A317D"/>
    <w:rsid w:val="004B2105"/>
    <w:rsid w:val="004B6DA8"/>
    <w:rsid w:val="004C46E7"/>
    <w:rsid w:val="004C5403"/>
    <w:rsid w:val="00533347"/>
    <w:rsid w:val="00557A13"/>
    <w:rsid w:val="005704C2"/>
    <w:rsid w:val="005873D3"/>
    <w:rsid w:val="00591E26"/>
    <w:rsid w:val="005A30A8"/>
    <w:rsid w:val="005C2CD8"/>
    <w:rsid w:val="005E0E77"/>
    <w:rsid w:val="005E3C33"/>
    <w:rsid w:val="005E45D0"/>
    <w:rsid w:val="005F6B01"/>
    <w:rsid w:val="006053B3"/>
    <w:rsid w:val="00605509"/>
    <w:rsid w:val="006061F4"/>
    <w:rsid w:val="006109F0"/>
    <w:rsid w:val="00620E7E"/>
    <w:rsid w:val="00621067"/>
    <w:rsid w:val="006555A1"/>
    <w:rsid w:val="00657A15"/>
    <w:rsid w:val="00677B66"/>
    <w:rsid w:val="00683043"/>
    <w:rsid w:val="00691974"/>
    <w:rsid w:val="006A58C2"/>
    <w:rsid w:val="006C63A4"/>
    <w:rsid w:val="006F239F"/>
    <w:rsid w:val="00702B5B"/>
    <w:rsid w:val="00722A68"/>
    <w:rsid w:val="00734BC2"/>
    <w:rsid w:val="00735EBD"/>
    <w:rsid w:val="007400C4"/>
    <w:rsid w:val="007442DE"/>
    <w:rsid w:val="00771192"/>
    <w:rsid w:val="00771431"/>
    <w:rsid w:val="0077329B"/>
    <w:rsid w:val="007D0A19"/>
    <w:rsid w:val="007E3371"/>
    <w:rsid w:val="008041AB"/>
    <w:rsid w:val="00824983"/>
    <w:rsid w:val="0082612F"/>
    <w:rsid w:val="00863BDA"/>
    <w:rsid w:val="008756D4"/>
    <w:rsid w:val="00895A62"/>
    <w:rsid w:val="008F44BA"/>
    <w:rsid w:val="00933F26"/>
    <w:rsid w:val="00941E3D"/>
    <w:rsid w:val="00947F86"/>
    <w:rsid w:val="009734EB"/>
    <w:rsid w:val="00973709"/>
    <w:rsid w:val="00984849"/>
    <w:rsid w:val="00990820"/>
    <w:rsid w:val="009A4AA9"/>
    <w:rsid w:val="009A4D1B"/>
    <w:rsid w:val="009C4DF8"/>
    <w:rsid w:val="009E291C"/>
    <w:rsid w:val="009E5833"/>
    <w:rsid w:val="009F0CC5"/>
    <w:rsid w:val="00A16BEE"/>
    <w:rsid w:val="00A22FD3"/>
    <w:rsid w:val="00A44B0B"/>
    <w:rsid w:val="00A52027"/>
    <w:rsid w:val="00A52C6D"/>
    <w:rsid w:val="00AD2E43"/>
    <w:rsid w:val="00B27EDA"/>
    <w:rsid w:val="00B5579A"/>
    <w:rsid w:val="00B63201"/>
    <w:rsid w:val="00B83055"/>
    <w:rsid w:val="00B8338E"/>
    <w:rsid w:val="00B8754D"/>
    <w:rsid w:val="00B94452"/>
    <w:rsid w:val="00B955E9"/>
    <w:rsid w:val="00BA01E5"/>
    <w:rsid w:val="00BA4151"/>
    <w:rsid w:val="00BE3CD7"/>
    <w:rsid w:val="00C033CA"/>
    <w:rsid w:val="00C216CE"/>
    <w:rsid w:val="00C447C5"/>
    <w:rsid w:val="00C55A9F"/>
    <w:rsid w:val="00C56B73"/>
    <w:rsid w:val="00C81E09"/>
    <w:rsid w:val="00C955B1"/>
    <w:rsid w:val="00CC35DE"/>
    <w:rsid w:val="00CC4BAF"/>
    <w:rsid w:val="00CD4379"/>
    <w:rsid w:val="00D13E53"/>
    <w:rsid w:val="00D33FB6"/>
    <w:rsid w:val="00D525A9"/>
    <w:rsid w:val="00D727C8"/>
    <w:rsid w:val="00D82367"/>
    <w:rsid w:val="00D92955"/>
    <w:rsid w:val="00DE01D9"/>
    <w:rsid w:val="00DF0308"/>
    <w:rsid w:val="00E20EE1"/>
    <w:rsid w:val="00E35BBF"/>
    <w:rsid w:val="00E53C6F"/>
    <w:rsid w:val="00E701BC"/>
    <w:rsid w:val="00E77E82"/>
    <w:rsid w:val="00E86EE6"/>
    <w:rsid w:val="00E8799A"/>
    <w:rsid w:val="00E92D92"/>
    <w:rsid w:val="00E94889"/>
    <w:rsid w:val="00E95C4A"/>
    <w:rsid w:val="00EB1E7A"/>
    <w:rsid w:val="00EC5D37"/>
    <w:rsid w:val="00EE7A28"/>
    <w:rsid w:val="00EF12E2"/>
    <w:rsid w:val="00F073CB"/>
    <w:rsid w:val="00F21C1B"/>
    <w:rsid w:val="00F26441"/>
    <w:rsid w:val="00F857B1"/>
    <w:rsid w:val="00F859A5"/>
    <w:rsid w:val="00F90F6F"/>
    <w:rsid w:val="00F94F11"/>
    <w:rsid w:val="00F9557A"/>
    <w:rsid w:val="00FE221B"/>
    <w:rsid w:val="00FE58DD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DC4AC"/>
  <w15:docId w15:val="{2B50304E-A43C-425E-B1B2-455661B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7D0A1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noProof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qFormat/>
    <w:rsid w:val="007D0A1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customStyle="1" w:styleId="AkapitzlistZnak">
    <w:name w:val="Akapit z listą Znak"/>
    <w:link w:val="Akapitzlist"/>
    <w:qFormat/>
    <w:locked/>
    <w:rsid w:val="007D0A19"/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table" w:styleId="Tabela-Siatka">
    <w:name w:val="Table Grid"/>
    <w:basedOn w:val="Standardowy"/>
    <w:uiPriority w:val="59"/>
    <w:rsid w:val="008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F44BA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F44B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F44B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5A9F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5A9F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styleId="Poprawka">
    <w:name w:val="Revision"/>
    <w:hidden/>
    <w:uiPriority w:val="99"/>
    <w:semiHidden/>
    <w:rsid w:val="00E95C4A"/>
    <w:pPr>
      <w:spacing w:after="0" w:line="240" w:lineRule="auto"/>
    </w:pPr>
    <w:rPr>
      <w:rFonts w:ascii="Liberation Serif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525A9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basedOn w:val="Standard"/>
    <w:rsid w:val="00D525A9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Standard"/>
    <w:rsid w:val="00D525A9"/>
    <w:pPr>
      <w:suppressLineNumbers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9295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955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955"/>
    <w:rPr>
      <w:rFonts w:ascii="Liberation Serif" w:hAnsi="Liberation Serif" w:cs="Mangal"/>
      <w:noProof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9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955"/>
    <w:rPr>
      <w:rFonts w:ascii="Liberation Serif" w:hAnsi="Liberation Serif" w:cs="Mangal"/>
      <w:b/>
      <w:bCs/>
      <w:noProof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D5E6-DD3F-4850-8A89-E7563811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1989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LGD</cp:lastModifiedBy>
  <cp:revision>6</cp:revision>
  <dcterms:created xsi:type="dcterms:W3CDTF">2019-12-18T07:44:00Z</dcterms:created>
  <dcterms:modified xsi:type="dcterms:W3CDTF">2019-12-18T12:02:00Z</dcterms:modified>
</cp:coreProperties>
</file>