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
          <w:sz w:val="20"/>
        </w:rPr>
      </w:pPr>
      <w:r>
        <w:rPr>
          <w:b/>
          <w:sz w:val="20"/>
        </w:rPr>
        <w:t xml:space="preserve">   </w:t>
      </w:r>
    </w:p>
    <w:p>
      <w:pPr>
        <w:pStyle w:val="Normal"/>
        <w:spacing w:before="0" w:after="0"/>
        <w:jc w:val="center"/>
        <w:rPr>
          <w:b/>
          <w:b/>
        </w:rPr>
      </w:pPr>
      <w:r>
        <w:rPr>
          <w:b/>
        </w:rPr>
        <w:t>Kryteria wyboru projektów pilotażowych</w:t>
      </w:r>
    </w:p>
    <w:p>
      <w:pPr>
        <w:pStyle w:val="Normal"/>
        <w:spacing w:before="0" w:after="0"/>
        <w:rPr>
          <w:b/>
          <w:b/>
          <w:sz w:val="20"/>
        </w:rPr>
      </w:pPr>
      <w:r>
        <w:rPr>
          <w:b/>
          <w:sz w:val="20"/>
        </w:rPr>
      </w:r>
    </w:p>
    <w:tbl>
      <w:tblPr>
        <w:tblStyle w:val="Tabela-Siatka"/>
        <w:tblW w:w="1402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92"/>
        <w:gridCol w:w="3517"/>
        <w:gridCol w:w="4133"/>
        <w:gridCol w:w="2336"/>
        <w:gridCol w:w="2851"/>
      </w:tblGrid>
      <w:tr>
        <w:trPr>
          <w:trHeight w:val="256" w:hRule="atLeast"/>
        </w:trPr>
        <w:tc>
          <w:tcPr>
            <w:tcW w:w="1192" w:type="dxa"/>
            <w:tcBorders/>
            <w:shd w:color="auto" w:fill="D9D9D9" w:themeFill="background1" w:themeFillShade="d9" w:val="clear"/>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Lp.</w:t>
            </w:r>
          </w:p>
        </w:tc>
        <w:tc>
          <w:tcPr>
            <w:tcW w:w="3517" w:type="dxa"/>
            <w:tcBorders/>
            <w:shd w:color="auto" w:fill="D9D9D9" w:themeFill="background1" w:themeFillShade="d9" w:val="clear"/>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Kryterium</w:t>
            </w:r>
          </w:p>
        </w:tc>
        <w:tc>
          <w:tcPr>
            <w:tcW w:w="4133" w:type="dxa"/>
            <w:tcBorders/>
            <w:shd w:color="auto" w:fill="D9D9D9" w:themeFill="background1" w:themeFillShade="d9" w:val="clear"/>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Uzasadnienie kryterium</w:t>
            </w:r>
          </w:p>
        </w:tc>
        <w:tc>
          <w:tcPr>
            <w:tcW w:w="2336" w:type="dxa"/>
            <w:tcBorders/>
            <w:shd w:color="auto" w:fill="D9D9D9" w:themeFill="background1" w:themeFillShade="d9" w:val="clear"/>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Ocena</w:t>
            </w:r>
          </w:p>
        </w:tc>
        <w:tc>
          <w:tcPr>
            <w:tcW w:w="2851" w:type="dxa"/>
            <w:tcBorders/>
            <w:shd w:color="auto" w:fill="D9D9D9" w:themeFill="background1" w:themeFillShade="d9" w:val="clear"/>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Sposób weryfikacji kryterium</w:t>
            </w:r>
            <w:r>
              <w:rPr>
                <w:rStyle w:val="Zakotwiczenieprzypisudolnego"/>
                <w:rFonts w:eastAsia="Calibri" w:cs=""/>
                <w:b/>
                <w:kern w:val="0"/>
                <w:sz w:val="20"/>
                <w:szCs w:val="22"/>
                <w:lang w:val="pl-PL" w:eastAsia="en-US" w:bidi="ar-SA"/>
              </w:rPr>
              <w:footnoteReference w:id="2"/>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Wniosek o dofinansowanie projektu pilotażowego został złożony we właściwym terminie i na właściwym formularzu.</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wnioskodawca złożył wniosek o</w:t>
            </w:r>
            <w:r>
              <w:rPr>
                <w:rFonts w:eastAsia="Calibri" w:cs=""/>
                <w:b/>
                <w:kern w:val="0"/>
                <w:sz w:val="20"/>
                <w:szCs w:val="22"/>
                <w:lang w:val="pl-PL" w:eastAsia="en-US" w:bidi="ar-SA"/>
              </w:rPr>
              <w:t xml:space="preserve"> </w:t>
            </w:r>
            <w:r>
              <w:rPr>
                <w:rFonts w:eastAsia="Calibri" w:cs=""/>
                <w:kern w:val="0"/>
                <w:sz w:val="20"/>
                <w:szCs w:val="22"/>
                <w:lang w:val="pl-PL" w:eastAsia="en-US" w:bidi="ar-SA"/>
              </w:rPr>
              <w:t xml:space="preserve">dofinansowanie projektu pilotażowego w terminie wskazanym w ogłoszeniu o naborze wniosków i na formularzu udostępnionym przez LGD jako załącznik do Regulaminu udzielania wsparcia.   </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w:t>
            </w:r>
            <w:r>
              <w:rPr>
                <w:rFonts w:eastAsia="Calibri" w:cs=""/>
                <w:b/>
                <w:kern w:val="0"/>
                <w:sz w:val="20"/>
                <w:szCs w:val="22"/>
                <w:lang w:val="pl-PL" w:eastAsia="en-US" w:bidi="ar-SA"/>
              </w:rPr>
              <w:t xml:space="preserve"> </w:t>
            </w:r>
            <w:r>
              <w:rPr>
                <w:rFonts w:eastAsia="Calibri" w:cs=""/>
                <w:kern w:val="0"/>
                <w:sz w:val="20"/>
                <w:szCs w:val="22"/>
                <w:lang w:val="pl-PL" w:eastAsia="en-US" w:bidi="ar-SA"/>
              </w:rPr>
              <w:t>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 xml:space="preserve">Kryterium weryfikowane na podstawie rejestru wpływu wniosków i na podstawie treści wniosku o dofinansowanie projektu pilotażowego . </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Wniosek o dofinansowanie projektu pilotażowego został podpisany przez uprawnione osoby.</w:t>
            </w:r>
          </w:p>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 przypadku podpisania wniosku na podstawie pełnomocnictwa wymagane jest załączenie pełnomocnictwa do wniosku o dofinansowanie.</w:t>
            </w:r>
          </w:p>
        </w:tc>
        <w:tc>
          <w:tcPr>
            <w:tcW w:w="4133" w:type="dxa"/>
            <w:tcBorders/>
          </w:tcPr>
          <w:p>
            <w:pPr>
              <w:pStyle w:val="Normal"/>
              <w:widowControl w:val="false"/>
              <w:suppressAutoHyphens w:val="true"/>
              <w:spacing w:lineRule="auto" w:line="240" w:before="0" w:after="0"/>
              <w:ind w:left="-62" w:hanging="0"/>
              <w:jc w:val="left"/>
              <w:rPr>
                <w:sz w:val="20"/>
              </w:rPr>
            </w:pPr>
            <w:r>
              <w:rPr>
                <w:rFonts w:eastAsia="Calibri" w:cs=""/>
                <w:kern w:val="0"/>
                <w:sz w:val="20"/>
                <w:szCs w:val="22"/>
                <w:lang w:val="pl-PL" w:eastAsia="en-US" w:bidi="ar-SA"/>
              </w:rPr>
              <w:t>Ocenie podlega, czy wniosek o dofinansowanie projektu pilotażowego został podpisany przez osobę/y do tego upoważnioną/e.</w:t>
            </w:r>
          </w:p>
          <w:p>
            <w:pPr>
              <w:pStyle w:val="Normal"/>
              <w:widowControl w:val="false"/>
              <w:suppressAutoHyphens w:val="true"/>
              <w:spacing w:lineRule="auto" w:line="240" w:before="0" w:after="0"/>
              <w:ind w:left="-62" w:hanging="0"/>
              <w:jc w:val="left"/>
              <w:rPr>
                <w:sz w:val="20"/>
              </w:rPr>
            </w:pPr>
            <w:r>
              <w:rPr>
                <w:rFonts w:eastAsia="Calibri" w:cs=""/>
                <w:kern w:val="0"/>
                <w:sz w:val="20"/>
                <w:szCs w:val="22"/>
                <w:lang w:val="pl-PL" w:eastAsia="en-US" w:bidi="ar-SA"/>
              </w:rPr>
              <w:t xml:space="preserve">W przypadku podpisania wniosku o dofinansowanie projektu pilotażowego na podstawie pełnomocnictwa, ocenie podlega, czy do wniosku (w wersji papierowej) załączone jest prawidłowe pełnomocnictwo.  </w:t>
            </w:r>
          </w:p>
        </w:tc>
        <w:tc>
          <w:tcPr>
            <w:tcW w:w="2336" w:type="dxa"/>
            <w:tcBorders/>
          </w:tcPr>
          <w:p>
            <w:pPr>
              <w:pStyle w:val="Normal"/>
              <w:widowControl w:val="false"/>
              <w:suppressAutoHyphens w:val="true"/>
              <w:spacing w:lineRule="auto" w:line="240" w:before="0" w:after="0"/>
              <w:jc w:val="center"/>
              <w:rPr>
                <w:bCs/>
                <w:sz w:val="20"/>
              </w:rPr>
            </w:pPr>
            <w:r>
              <w:rPr>
                <w:rFonts w:eastAsia="Calibri" w:cs=""/>
                <w:b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b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 i załączników (jeśli dotyczy) oraz dokumentów rejestrowych wnioskodawcy (jeśli dotyczy)</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 xml:space="preserve">Wnioskodawca złożył nie więcej niż 1 wniosek o dofinansowanie projektu pilotażowego w ramach naboru. </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 xml:space="preserve">Ocenie podlega, czy wnioskodawca złożył nie więcej niż 1 wniosek o dofinansowanie projektu pilotażowego. </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Kryterium zostanie zweryfikowane na podstawie rejestru wpływu wniosków. W przypadku niespełnienia kryterium odrzuca się wszystkie złożone w odpowiedzi na ogłoszony nabór wnioski.</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W przypadku wniosków o dofinansowanie projektu pilotażowego nie dopuszcza się składania wniosków w partnerstwie.</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rejestru wpływu wniosków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 xml:space="preserve">Wnioskowana wartość/wartość dofinansowania  projektu pilotażowego nie przekracza 63 150,00zł. </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 xml:space="preserve">Ocenie podlega, czy wartość/wartość dofinasowania projektu wskazana we wniosku o dofinansowanie projektu pilotażowego nie przekracza </w:t>
            </w:r>
            <w:r>
              <w:rPr>
                <w:sz w:val="20"/>
                <w:highlight w:val="yellow"/>
              </w:rPr>
              <w:t xml:space="preserve"> 63 150,00</w:t>
            </w:r>
            <w:r>
              <w:rPr>
                <w:rFonts w:eastAsia="Calibri" w:cs=""/>
                <w:kern w:val="0"/>
                <w:sz w:val="20"/>
                <w:szCs w:val="22"/>
                <w:lang w:val="pl-PL" w:eastAsia="en-US" w:bidi="ar-SA"/>
              </w:rPr>
              <w:t xml:space="preserve"> zł.</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Okres realizacji projektu jest zgodny z zapisami określonymi w Regulaminie udzielania wsparcia.</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okres realizacji projektu wskazany we wniosku o dofinansowanie projektu pilotażowego  jest zgodny z zapisami określonymi w Regulaminu udzielania wsparcia.</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Wnioskodawca nie podlega wykluczeniu z możliwości otrzymania dofinansowania ze środków Unii Europejskiej.</w:t>
            </w:r>
          </w:p>
          <w:p>
            <w:pPr>
              <w:pStyle w:val="Normal"/>
              <w:widowControl w:val="false"/>
              <w:suppressAutoHyphens w:val="true"/>
              <w:spacing w:lineRule="auto" w:line="240" w:before="0" w:after="0"/>
              <w:jc w:val="left"/>
              <w:rPr>
                <w:b/>
                <w:b/>
                <w:sz w:val="20"/>
              </w:rPr>
            </w:pPr>
            <w:r>
              <w:rPr>
                <w:b/>
                <w:sz w:val="20"/>
              </w:rPr>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wnioskodawca nie podlega wykluczeniu z możliwości otrzymania dofinansowania ze środków Unii Europejskiej na podstawie:</w:t>
            </w:r>
          </w:p>
          <w:p>
            <w:pPr>
              <w:pStyle w:val="ListParagraph"/>
              <w:widowControl w:val="false"/>
              <w:numPr>
                <w:ilvl w:val="0"/>
                <w:numId w:val="1"/>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art. 207 ust. 4 ustawy z dnia 27 sierpnia 2009 r. o finansach publicznych (Dz. U. 2022 r. poz. 1634 z późn. zm.),</w:t>
            </w:r>
          </w:p>
          <w:p>
            <w:pPr>
              <w:pStyle w:val="ListParagraph"/>
              <w:widowControl w:val="false"/>
              <w:numPr>
                <w:ilvl w:val="0"/>
                <w:numId w:val="1"/>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art.12 ust. 1 pkt 1 ustawy z dnia 15 czerwca 2012 r. o skutkach powierzania wykonywania pracy cudzoziemcom przebywającym wbrew przepisom na terytorium Rzeczypospolitej Polskiej (Dz. U. 2021 r. poz. 1745),</w:t>
            </w:r>
          </w:p>
          <w:p>
            <w:pPr>
              <w:pStyle w:val="ListParagraph"/>
              <w:widowControl w:val="false"/>
              <w:numPr>
                <w:ilvl w:val="0"/>
                <w:numId w:val="1"/>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art. 9 ust. 1 pkt 2a ustawy z dnia 28 października 2002 r. o odpowiedzialności podmiotów zbiorowych za czyny zabronione pod groźbą kary (Dz. U. z 2022 r. poz. 1488 z późn. zm.).</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 oraz oświadczenia stanowiącego integralną część wniosku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Realizacja wniosku o dofinansowanie projektu pilotażowego jest zgodna z przepisami art. 65 ust. 6 i art. 125 ust. 3 lit. e) i f) rozporządzenia 1303/2013.</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wnioskodawca złożył oświadczenie, że:</w:t>
            </w:r>
          </w:p>
          <w:p>
            <w:pPr>
              <w:pStyle w:val="ListParagraph"/>
              <w:widowControl w:val="false"/>
              <w:numPr>
                <w:ilvl w:val="0"/>
                <w:numId w:val="2"/>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projekt nie został fizycznie zakończony lub w pełni zrealizowany przed złożeniem wniosku o dofinansowanie projektu pilotażowego w rozumieniu art. 65 ust. 6 rozporządzenia 1303/2013;</w:t>
            </w:r>
          </w:p>
          <w:p>
            <w:pPr>
              <w:pStyle w:val="ListParagraph"/>
              <w:widowControl w:val="false"/>
              <w:numPr>
                <w:ilvl w:val="0"/>
                <w:numId w:val="2"/>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nie rozpoczął realizacji projektu przed dniem złożenia wniosku o dofinansowanie projektu pilotażowego albo że realizując projekt przed dniem złożenia wniosku o dofinansowanie projektu pilotażowego, przestrzegał obowiązujących przepisów prawa dotyczących danego projektu zgodnie z art. 125 ust. 3 lit. e) rozporządzenia 1303/2013;</w:t>
            </w:r>
          </w:p>
          <w:p>
            <w:pPr>
              <w:pStyle w:val="ListParagraph"/>
              <w:widowControl w:val="false"/>
              <w:numPr>
                <w:ilvl w:val="0"/>
                <w:numId w:val="2"/>
              </w:numPr>
              <w:suppressAutoHyphens w:val="true"/>
              <w:spacing w:lineRule="auto" w:line="240" w:before="0" w:after="0"/>
              <w:ind w:left="459" w:hanging="360"/>
              <w:contextualSpacing/>
              <w:jc w:val="left"/>
              <w:rPr>
                <w:sz w:val="20"/>
              </w:rPr>
            </w:pPr>
            <w:r>
              <w:rPr>
                <w:rFonts w:eastAsia="Calibri" w:cs=""/>
                <w:kern w:val="0"/>
                <w:sz w:val="20"/>
                <w:szCs w:val="22"/>
                <w:lang w:val="pl-PL" w:eastAsia="en-US" w:bidi="ar-SA"/>
              </w:rPr>
              <w:t>projekt nie obejmuje przedsięwzięć, które zostały objęte lub powinny zostać objęte procedurą odzyskiwania (w rozumieniu art. 71 rozporządzenia 1303/2013) w następstwie przeniesienia działalności produkcyjnej poza obszar objęty programem zgodnie z art. 125 ust. 3 lit. f) rozporządzenia 1303/2013.</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 oraz oświadczenia stanowiącego integralną część wniosku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Wniosek o dofinansowanie projektu pilotażowego zakłada prawidłowy poziom kosztów administracyjnych.</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koszty administracyjne we wniosku o dofinansowanie projektu pilotażowego nie przekraczają 20% wartości budżetu projektu.</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ListParagraph"/>
              <w:widowControl w:val="false"/>
              <w:numPr>
                <w:ilvl w:val="0"/>
                <w:numId w:val="4"/>
              </w:numPr>
              <w:suppressAutoHyphens w:val="true"/>
              <w:spacing w:lineRule="auto" w:line="240" w:before="0" w:after="0"/>
              <w:contextualSpacing/>
              <w:jc w:val="left"/>
              <w:rPr>
                <w:b/>
                <w:b/>
                <w:sz w:val="20"/>
              </w:rPr>
            </w:pPr>
            <w:r>
              <w:rPr>
                <w:b/>
                <w:sz w:val="20"/>
              </w:rPr>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Wniosek o dofinansowanie projektu pilotażowego jest zgodny z zasadą równości szans i niedyskryminacji, w tym dostępności dla osób z niepełnosprawnościami.</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projekt jest zgodny z zasadą równości szans i niedyskryminacji, w tym dostępności dla osób z niepełnosprawnościami określoną w art. 7 rozporządzenia 1303/2013.</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10.</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Zgodność wniosku o dofinansowanie projektu pilotażowego z zasadą równości szans kobiet i mężczyzn w oparciu o standard minimum.</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wniosek o dofinansowanie projektu pilotażowego jest zgodny z zasadą równości szans kobiet i mężczyzn w oparciu o standard minimum.</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W ramach kryterium weryfikowane będzie spełnienie standardu minimum oceniane na podstawie kryteriów oceny określonych w Wytycznych w zakresie realizacji zasady równości szans i niedyskryminacji, w tym dostępności dla osób z niepełnosprawnościami oraz zasady równości szans kobiet i mężczyzn w ramach funduszy unijnych na lata 2014-2020.</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11.</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Projekt jest zgodny z zasadą zrównoważonego rozwoju.</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projekt jest zgodny z zasadą zrównoważonego rozwoju określoną w art. 8 rozporządzenia 1303/2013.</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Realizacja projektów współfinansowanych ze środków unijnych powinna odbywać się przy poszanowaniu czynnika społecznego, gospodarczego i ekologicznego. Wnioskodawca powinien zadbać o równowagę pomiędzy nimi. Wniosek o dofinansowanie projektu pilotażowego powinien budzić świadomość społeczności w zakresie odpowiedzialności za środowisko naturalne, przekazywać informacje w jaki sposób i w jakim zakresie realizowane przedsięwzięcie wpływa na otoczenie.</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12.</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Kwalifikowalność wnioskodawcy.</w:t>
            </w:r>
          </w:p>
        </w:tc>
        <w:tc>
          <w:tcPr>
            <w:tcW w:w="4133" w:type="dxa"/>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Ocenie podlega czy wniosek o dofinansowanie projektu pilotażowego został złożony przez uprawnionego wnioskodawcę - organizację pozarządową tj. podmiot:</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1) niebędący jednostką sektora finansów publicznych w rozumieniu ustawy z dnia 27 sierpnia 2009 r. o finansach publicznych (Dz. U. 2022 r. poz. 1634 z późn. zm.) lub przedsiębiorstwem, instytucją badawczą, bankiem i spółką prawa handlowego będącą państwową lub samorządową osobą prawną,</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2) niedziałający w celu osiągnięcia zysku - osoba prawna lub jednostka organizacyjna nieposiadająca osobowości prawnej, której odrębna ustawa przyznaje zdolność prawną, w tym fundacje i stowarzyszenia</w:t>
            </w:r>
            <w:r>
              <w:rPr>
                <w:rStyle w:val="Zakotwiczenieprzypisudolnego"/>
                <w:rFonts w:eastAsia="Calibri" w:cs=""/>
                <w:kern w:val="0"/>
                <w:sz w:val="20"/>
                <w:szCs w:val="20"/>
                <w:vertAlign w:val="superscript"/>
                <w:lang w:val="pl-PL" w:eastAsia="en-US" w:bidi="ar-SA"/>
              </w:rPr>
              <w:footnoteReference w:id="3"/>
            </w:r>
            <w:r>
              <w:rPr>
                <w:rFonts w:eastAsia="Calibri" w:cs=""/>
                <w:kern w:val="0"/>
                <w:sz w:val="20"/>
                <w:szCs w:val="20"/>
                <w:lang w:val="pl-PL" w:eastAsia="en-US" w:bidi="ar-SA"/>
              </w:rPr>
              <w:t xml:space="preserve">, </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 xml:space="preserve">Lub podmiot zrównany z nimi – prowadzący działalność pożytku publicznego tj.: </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1) osoba prawna i jednostka organizacyjna działająca na podstawie przepisów o stosunku Państwa do Kościoła Katolickiego w Rzeczypospolitej Polskiej, o stosunku Państwa do innych kościołów i związków wyznaniowych oraz o gwarancjach wolności sumienia i wyznania, jeżeli jej cele statutowe obejmują prowadzenie działalności pożytku publicznego;</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2) stowarzyszenie jednostek samorządu terytorialnego;</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3) spółdzielnia socjalna.</w:t>
            </w:r>
          </w:p>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Ocenia podlega także, czy wnioskodawca nie jest powiązany z członkami zarządu stowarzyszenia LGD i pracownikami LGD.</w:t>
            </w:r>
          </w:p>
          <w:p>
            <w:pPr>
              <w:pStyle w:val="Normal"/>
              <w:widowControl w:val="false"/>
              <w:suppressAutoHyphens w:val="true"/>
              <w:spacing w:lineRule="auto" w:line="240" w:before="0" w:after="0"/>
              <w:jc w:val="left"/>
              <w:rPr>
                <w:sz w:val="20"/>
                <w:szCs w:val="20"/>
              </w:rPr>
            </w:pPr>
            <w:r>
              <w:rPr>
                <w:rFonts w:eastAsia="Calibri" w:cs=""/>
                <w:kern w:val="0"/>
                <w:sz w:val="20"/>
                <w:szCs w:val="20"/>
                <w:lang w:val="pl-PL" w:eastAsia="en-US" w:bidi="ar-SA"/>
              </w:rPr>
              <w:t>Osoby powiązane to osoby: będące w związku małżeńskim, stosunku pokrewieństwa i powinowactwa do drugiego stopnia; osoby które są i/lub były związane z tytułu przysposobienia, opieki lub kurateli. Ponadto osoby powiązane to także osoby, które: brały osobisty udział w przygotowaniu wniosku, a także osoby, które: są i w okresie roku poprzedzającego dzień złożenia wniosku były związane stosunkiem pracy z wnioskodawcą; osoby, które są i w okresie roku poprzedzającego dzień złożenia wniosku były związane stosunkiem cywilnoprawnym z wnioskodawcą; osoby, które są i w okresie roku poprzedzającego dzień złożenia wniosku były członkiem organów zarządzających i nadzorczych wnioskodawcę; osoby, które są i w okresie roku poprzedzającego dzień złożenia wniosku były wspólnikiem, udziałowcem lub akcjonariuszem wnioskodawcy.</w:t>
            </w:r>
          </w:p>
          <w:p>
            <w:pPr>
              <w:pStyle w:val="Normal"/>
              <w:widowControl w:val="false"/>
              <w:suppressAutoHyphens w:val="true"/>
              <w:spacing w:lineRule="auto" w:line="240" w:before="0" w:after="0"/>
              <w:jc w:val="left"/>
              <w:rPr>
                <w:sz w:val="20"/>
                <w:szCs w:val="20"/>
              </w:rPr>
            </w:pPr>
            <w:r>
              <w:rPr>
                <w:sz w:val="20"/>
                <w:szCs w:val="20"/>
              </w:rPr>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 oraz oświadczenia stanowiącego integralną część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13.</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Wniosek o dofinansowanie projektu pilotażowego jest skierowany do grupy kwalifikującej się do objęcia wsparciem.</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projekt pilotażowy został skierowany bezpośrednio do mieszkańców obszaru objętego Lokalną Strategią Rozwoju</w:t>
            </w:r>
            <w:r>
              <w:rPr>
                <w:rFonts w:eastAsia="Calibri" w:cs=""/>
                <w:kern w:val="0"/>
                <w:sz w:val="20"/>
                <w:szCs w:val="22"/>
                <w:shd w:fill="FFFFFF" w:val="clear"/>
                <w:lang w:val="pl-PL" w:eastAsia="en-US" w:bidi="ar-SA"/>
              </w:rPr>
              <w:t xml:space="preserve"> </w:t>
            </w:r>
            <w:r>
              <w:rPr>
                <w:sz w:val="20"/>
                <w:shd w:fill="FFFFFF" w:val="clear"/>
              </w:rPr>
              <w:t>na lata 2016-2023 dla obszaru Lokalnej Grupy Działania Chełmno</w:t>
            </w:r>
            <w:r>
              <w:rPr>
                <w:rFonts w:eastAsia="Calibri" w:cs=""/>
                <w:kern w:val="0"/>
                <w:sz w:val="20"/>
                <w:szCs w:val="22"/>
                <w:lang w:val="pl-PL" w:eastAsia="en-US" w:bidi="ar-SA"/>
              </w:rPr>
              <w:t xml:space="preserve"> i uczestnikami projektu pilotażowego są osoby fizyczne bezpośrednio korzystające z interwencji EFS. Jako uczestników wykazuje się wyłącznie te osoby, które można zidentyfikować i uzyskać od nich dane niezbędne do określenia wspólnych wskaźników i dla których planowane jest poniesienie określonego wydatku. Bezpośrednie wsparcie uczestnika to wsparcie, na które zostały przeznaczone określone środki, świadczone na rzecz konkretnej osoby, prowadzące do uzyskania korzyści przez uczestnika (np. nabycia kompetencji, podjęcia zatrudnienia).</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TAK/NIE/DO POPRAWY</w:t>
            </w:r>
          </w:p>
          <w:p>
            <w:pPr>
              <w:pStyle w:val="Normal"/>
              <w:widowControl w:val="false"/>
              <w:suppressAutoHyphens w:val="true"/>
              <w:spacing w:lineRule="auto" w:line="240" w:before="0" w:after="0"/>
              <w:jc w:val="center"/>
              <w:rPr>
                <w:b/>
                <w:b/>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14.</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Wnioskodawca prowadzi biuro projektu na obszarze</w:t>
            </w:r>
            <w:r>
              <w:rPr>
                <w:rFonts w:eastAsia="Calibri" w:cs=""/>
                <w:b/>
                <w:kern w:val="0"/>
                <w:sz w:val="20"/>
                <w:szCs w:val="22"/>
                <w:shd w:fill="FFFFFF" w:val="clear"/>
                <w:lang w:val="pl-PL" w:eastAsia="en-US" w:bidi="ar-SA"/>
              </w:rPr>
              <w:t xml:space="preserve"> </w:t>
            </w:r>
            <w:r>
              <w:rPr>
                <w:b/>
                <w:sz w:val="20"/>
                <w:shd w:fill="FFFFFF" w:val="clear"/>
              </w:rPr>
              <w:t>działania Stowarzyszenia Lokalna Grupa Działania Chełmno</w:t>
            </w:r>
            <w:r>
              <w:rPr>
                <w:rFonts w:eastAsia="Calibri" w:cs=""/>
                <w:b/>
                <w:kern w:val="0"/>
                <w:sz w:val="20"/>
                <w:szCs w:val="22"/>
                <w:lang w:val="pl-PL" w:eastAsia="en-US" w:bidi="ar-SA"/>
              </w:rPr>
              <w:t xml:space="preserve"> </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czy w okresie realizacji projektu wnioskodawca prowadzi biuro projektu lub posiada siedzibę, filię, delegaturę, oddział czy inną formę działalności na obszarze województwa kujawsko-pomorskiego, gdzie przechowywana jest pełna oryginalna dokumentacja wdrażanego projektu (z wyłączeniem dokumentów, których miejsce przechowywania uregulowano odpowiednimi przepisami), w miejscu umożliwiającym osobisty i równy dostęp potencjalnych uczestników/uczestniczek projektu do jego kadry.</w:t>
            </w:r>
          </w:p>
        </w:tc>
        <w:tc>
          <w:tcPr>
            <w:tcW w:w="2336"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TAK/NIE</w:t>
            </w:r>
          </w:p>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niespełnienie kryterium oznacza odrzucenie wniosku o dofinansowanie projektu pilotażowego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15.</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Działalność wnioskodawcy</w:t>
            </w:r>
          </w:p>
        </w:tc>
        <w:tc>
          <w:tcPr>
            <w:tcW w:w="4133" w:type="dxa"/>
            <w:tcBorders/>
          </w:tcPr>
          <w:p>
            <w:pPr>
              <w:pStyle w:val="Normalny1"/>
              <w:widowControl w:val="false"/>
              <w:suppressAutoHyphens w:val="true"/>
              <w:spacing w:before="0" w:after="0"/>
              <w:jc w:val="left"/>
              <w:rPr>
                <w:kern w:val="0"/>
                <w:lang w:val="pl-PL" w:bidi="ar-SA"/>
              </w:rPr>
            </w:pPr>
            <w:r>
              <w:rPr>
                <w:kern w:val="0"/>
                <w:lang w:val="pl-PL" w:bidi="ar-SA"/>
              </w:rPr>
              <w:t xml:space="preserve">Ocenie podlega dotychczasowe zaangażowanie wnioskodawcy na rzecz lokalnej społeczności, </w:t>
            </w:r>
            <w:r>
              <w:rPr>
                <w:b/>
                <w:bCs/>
                <w:kern w:val="0"/>
                <w:lang w:val="pl-PL" w:bidi="ar-SA"/>
              </w:rPr>
              <w:t>poza inicjatywami realizowanymi w ramach  RLKS</w:t>
            </w:r>
            <w:r>
              <w:rPr>
                <w:kern w:val="0"/>
                <w:lang w:val="pl-PL" w:bidi="ar-SA"/>
              </w:rPr>
              <w:t xml:space="preserve"> w perspektywie 2014-2020.</w:t>
            </w:r>
          </w:p>
          <w:p>
            <w:pPr>
              <w:pStyle w:val="Normalny1"/>
              <w:widowControl w:val="false"/>
              <w:suppressAutoHyphens w:val="true"/>
              <w:spacing w:before="0" w:after="0"/>
              <w:jc w:val="left"/>
              <w:rPr>
                <w:kern w:val="0"/>
                <w:lang w:val="pl-PL" w:bidi="ar-SA"/>
              </w:rPr>
            </w:pPr>
            <w:r>
              <w:rPr>
                <w:kern w:val="0"/>
                <w:lang w:val="pl-PL" w:bidi="ar-SA"/>
              </w:rPr>
              <w:t xml:space="preserve">Kryterium ma celu wybór podmiotów aktywnie działających w środowisku lokalnym na rzecz ogółu lub konkretnej grupy mieszkańców i najlepiej znających potrzeby społeczności lokalnej. </w:t>
            </w:r>
          </w:p>
          <w:p>
            <w:pPr>
              <w:pStyle w:val="Normalny1"/>
              <w:widowControl w:val="false"/>
              <w:suppressAutoHyphens w:val="true"/>
              <w:spacing w:before="0" w:after="0"/>
              <w:jc w:val="left"/>
              <w:rPr>
                <w:kern w:val="0"/>
                <w:lang w:val="pl-PL" w:bidi="ar-SA"/>
              </w:rPr>
            </w:pPr>
            <w:r>
              <w:rPr>
                <w:kern w:val="0"/>
                <w:lang w:val="pl-PL" w:bidi="ar-SA"/>
              </w:rPr>
            </w:r>
          </w:p>
        </w:tc>
        <w:tc>
          <w:tcPr>
            <w:tcW w:w="2336" w:type="dxa"/>
            <w:tcBorders/>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 xml:space="preserve">0-5 pkt </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Nie przewiduje się możliwości skierowania kryterium do poprawy.</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Nie przewidziano minimum punktowego.</w:t>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16.</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Potencjał wnioskodawcy</w:t>
            </w:r>
          </w:p>
        </w:tc>
        <w:tc>
          <w:tcPr>
            <w:tcW w:w="4133" w:type="dxa"/>
            <w:tcBorders/>
          </w:tcPr>
          <w:p>
            <w:pPr>
              <w:pStyle w:val="Normalny1"/>
              <w:widowControl w:val="false"/>
              <w:suppressAutoHyphens w:val="true"/>
              <w:spacing w:before="0" w:after="0"/>
              <w:jc w:val="left"/>
              <w:rPr>
                <w:kern w:val="0"/>
                <w:lang w:val="pl-PL" w:bidi="ar-SA"/>
              </w:rPr>
            </w:pPr>
            <w:r>
              <w:rPr>
                <w:kern w:val="0"/>
                <w:lang w:val="pl-PL" w:bidi="ar-SA"/>
              </w:rPr>
              <w:t>Ocenie podlega opis potencjału wnioskodawcy tj.:</w:t>
            </w:r>
          </w:p>
          <w:p>
            <w:pPr>
              <w:pStyle w:val="Normalny1"/>
              <w:widowControl w:val="false"/>
              <w:suppressAutoHyphens w:val="true"/>
              <w:spacing w:before="0" w:after="0"/>
              <w:jc w:val="left"/>
              <w:rPr>
                <w:kern w:val="0"/>
                <w:lang w:val="pl-PL" w:bidi="ar-SA"/>
              </w:rPr>
            </w:pPr>
            <w:r>
              <w:rPr>
                <w:kern w:val="0"/>
                <w:lang w:val="pl-PL" w:bidi="ar-SA"/>
              </w:rPr>
              <w:t>- potencjał kadrowy/merytoryczny wykorzystywany na potrzeby realizacji projektu.</w:t>
            </w:r>
          </w:p>
          <w:p>
            <w:pPr>
              <w:pStyle w:val="Normalny1"/>
              <w:widowControl w:val="false"/>
              <w:suppressAutoHyphens w:val="true"/>
              <w:spacing w:before="0" w:after="0"/>
              <w:jc w:val="left"/>
              <w:rPr>
                <w:kern w:val="0"/>
                <w:lang w:val="pl-PL" w:bidi="ar-SA"/>
              </w:rPr>
            </w:pPr>
            <w:r>
              <w:rPr>
                <w:kern w:val="0"/>
                <w:lang w:val="pl-PL" w:bidi="ar-SA"/>
              </w:rPr>
            </w:r>
          </w:p>
          <w:p>
            <w:pPr>
              <w:pStyle w:val="Normalny1"/>
              <w:widowControl w:val="false"/>
              <w:suppressAutoHyphens w:val="true"/>
              <w:spacing w:before="0" w:after="0"/>
              <w:jc w:val="left"/>
              <w:rPr>
                <w:kern w:val="0"/>
                <w:lang w:val="pl-PL" w:bidi="ar-SA"/>
              </w:rPr>
            </w:pPr>
            <w:r>
              <w:rPr>
                <w:kern w:val="0"/>
                <w:lang w:val="pl-PL" w:bidi="ar-SA"/>
              </w:rPr>
              <w:t>Ocenie podlega, czy opis potencjału wnioskodawcy jest adekwatny do założeń projektu i Regulaminu udzielania wsparcia.</w:t>
            </w:r>
          </w:p>
        </w:tc>
        <w:tc>
          <w:tcPr>
            <w:tcW w:w="2336" w:type="dxa"/>
            <w:tcBorders/>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0-2 pkt</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Nie przewiduje się możliwości skierowania kryterium do poprawy.</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Nie przewidziano minimum punktowego.</w:t>
            </w:r>
          </w:p>
          <w:p>
            <w:pPr>
              <w:pStyle w:val="Normal"/>
              <w:widowControl w:val="false"/>
              <w:suppressAutoHyphens w:val="true"/>
              <w:spacing w:lineRule="auto" w:line="240" w:before="0" w:after="0"/>
              <w:jc w:val="center"/>
              <w:rPr>
                <w:b/>
                <w:b/>
                <w:sz w:val="20"/>
              </w:rPr>
            </w:pPr>
            <w:r>
              <w:rPr>
                <w:b/>
                <w:sz w:val="20"/>
              </w:rPr>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17.</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 xml:space="preserve">Dobór działań </w:t>
            </w:r>
          </w:p>
        </w:tc>
        <w:tc>
          <w:tcPr>
            <w:tcW w:w="4133" w:type="dxa"/>
            <w:tcBorders/>
          </w:tcPr>
          <w:p>
            <w:pPr>
              <w:pStyle w:val="Normal"/>
              <w:widowControl w:val="false"/>
              <w:suppressAutoHyphens w:val="true"/>
              <w:spacing w:lineRule="auto" w:line="240" w:before="0" w:after="0"/>
              <w:jc w:val="left"/>
              <w:rPr>
                <w:bCs/>
                <w:sz w:val="20"/>
              </w:rPr>
            </w:pPr>
            <w:r>
              <w:rPr>
                <w:rFonts w:eastAsia="Calibri" w:cs=""/>
                <w:bCs/>
                <w:kern w:val="0"/>
                <w:sz w:val="20"/>
                <w:szCs w:val="22"/>
                <w:lang w:val="pl-PL" w:eastAsia="en-US" w:bidi="ar-SA"/>
              </w:rPr>
              <w:t>Ocenie podlega opis działań, w tym:</w:t>
            </w:r>
          </w:p>
          <w:p>
            <w:pPr>
              <w:pStyle w:val="ListParagraph"/>
              <w:widowControl w:val="false"/>
              <w:numPr>
                <w:ilvl w:val="0"/>
                <w:numId w:val="3"/>
              </w:numPr>
              <w:suppressAutoHyphens w:val="true"/>
              <w:spacing w:lineRule="auto" w:line="240" w:before="0" w:after="0"/>
              <w:ind w:left="318" w:hanging="360"/>
              <w:contextualSpacing/>
              <w:jc w:val="left"/>
              <w:rPr>
                <w:bCs/>
                <w:sz w:val="20"/>
              </w:rPr>
            </w:pPr>
            <w:r>
              <w:rPr>
                <w:rFonts w:eastAsia="Calibri" w:cs=""/>
                <w:bCs/>
                <w:kern w:val="0"/>
                <w:sz w:val="20"/>
                <w:szCs w:val="22"/>
                <w:lang w:val="pl-PL" w:eastAsia="en-US" w:bidi="ar-SA"/>
              </w:rPr>
              <w:t xml:space="preserve">uzasadnienie potrzeby realizacji zaplanowanych działań, </w:t>
            </w:r>
          </w:p>
          <w:p>
            <w:pPr>
              <w:pStyle w:val="ListParagraph"/>
              <w:widowControl w:val="false"/>
              <w:numPr>
                <w:ilvl w:val="0"/>
                <w:numId w:val="3"/>
              </w:numPr>
              <w:suppressAutoHyphens w:val="true"/>
              <w:spacing w:lineRule="auto" w:line="240" w:before="0" w:after="0"/>
              <w:ind w:left="318" w:hanging="360"/>
              <w:contextualSpacing/>
              <w:jc w:val="left"/>
              <w:rPr>
                <w:bCs/>
                <w:sz w:val="20"/>
              </w:rPr>
            </w:pPr>
            <w:r>
              <w:rPr>
                <w:rFonts w:eastAsia="Calibri" w:cs=""/>
                <w:bCs/>
                <w:kern w:val="0"/>
                <w:sz w:val="20"/>
                <w:szCs w:val="22"/>
                <w:lang w:val="pl-PL" w:eastAsia="en-US" w:bidi="ar-SA"/>
              </w:rPr>
              <w:t xml:space="preserve">opis nowatorskiego charakteru działań (co oznacza, że nie były realizowane w ramach lokalnej strategii rozwoju w perspektywie finansowej 2014-2020), </w:t>
            </w:r>
          </w:p>
          <w:p>
            <w:pPr>
              <w:pStyle w:val="ListParagraph"/>
              <w:widowControl w:val="false"/>
              <w:numPr>
                <w:ilvl w:val="0"/>
                <w:numId w:val="3"/>
              </w:numPr>
              <w:suppressAutoHyphens w:val="true"/>
              <w:spacing w:lineRule="auto" w:line="240" w:before="0" w:after="0"/>
              <w:ind w:left="318" w:hanging="360"/>
              <w:contextualSpacing/>
              <w:jc w:val="left"/>
              <w:rPr>
                <w:bCs/>
                <w:sz w:val="20"/>
              </w:rPr>
            </w:pPr>
            <w:r>
              <w:rPr>
                <w:rFonts w:eastAsia="Calibri" w:cs=""/>
                <w:bCs/>
                <w:kern w:val="0"/>
                <w:sz w:val="20"/>
                <w:szCs w:val="22"/>
                <w:lang w:val="pl-PL" w:eastAsia="en-US" w:bidi="ar-SA"/>
              </w:rPr>
              <w:t xml:space="preserve">opis sposobu dotarcia do odbiorców projektu i działań upowszechniających jego założenia, </w:t>
            </w:r>
          </w:p>
          <w:p>
            <w:pPr>
              <w:pStyle w:val="ListParagraph"/>
              <w:widowControl w:val="false"/>
              <w:numPr>
                <w:ilvl w:val="0"/>
                <w:numId w:val="3"/>
              </w:numPr>
              <w:suppressAutoHyphens w:val="true"/>
              <w:spacing w:lineRule="auto" w:line="240" w:before="0" w:after="0"/>
              <w:ind w:left="318" w:hanging="360"/>
              <w:contextualSpacing/>
              <w:jc w:val="left"/>
              <w:rPr>
                <w:bCs/>
                <w:sz w:val="20"/>
              </w:rPr>
            </w:pPr>
            <w:r>
              <w:rPr>
                <w:rFonts w:eastAsia="Calibri" w:cs=""/>
                <w:bCs/>
                <w:kern w:val="0"/>
                <w:sz w:val="20"/>
                <w:szCs w:val="22"/>
                <w:lang w:val="pl-PL" w:eastAsia="en-US" w:bidi="ar-SA"/>
              </w:rPr>
              <w:t>opis zaangażowania lokalnej społeczności w przygotowanie założeń do zaplanowanych działań,</w:t>
            </w:r>
          </w:p>
          <w:p>
            <w:pPr>
              <w:pStyle w:val="ListParagraph"/>
              <w:widowControl w:val="false"/>
              <w:numPr>
                <w:ilvl w:val="0"/>
                <w:numId w:val="3"/>
              </w:numPr>
              <w:suppressAutoHyphens w:val="true"/>
              <w:spacing w:lineRule="auto" w:line="240" w:before="0" w:after="0"/>
              <w:ind w:left="318" w:hanging="360"/>
              <w:contextualSpacing/>
              <w:jc w:val="left"/>
              <w:rPr>
                <w:bCs/>
                <w:sz w:val="20"/>
              </w:rPr>
            </w:pPr>
            <w:r>
              <w:rPr>
                <w:rFonts w:eastAsia="Calibri" w:cs=""/>
                <w:bCs/>
                <w:kern w:val="0"/>
                <w:sz w:val="20"/>
                <w:szCs w:val="22"/>
                <w:lang w:val="pl-PL" w:eastAsia="en-US" w:bidi="ar-SA"/>
              </w:rPr>
              <w:t>adekwatność doboru działań i ich merytoryczna zawartość w świetle zdiagnozowanego/ych problemu/ów wśród lokalnej społeczności.</w:t>
            </w:r>
          </w:p>
          <w:p>
            <w:pPr>
              <w:pStyle w:val="Normal"/>
              <w:widowControl w:val="false"/>
              <w:suppressAutoHyphens w:val="true"/>
              <w:spacing w:lineRule="auto" w:line="240" w:before="0" w:after="0"/>
              <w:ind w:left="-42" w:hanging="0"/>
              <w:jc w:val="left"/>
              <w:rPr>
                <w:sz w:val="20"/>
              </w:rPr>
            </w:pPr>
            <w:r>
              <w:rPr>
                <w:sz w:val="20"/>
              </w:rPr>
            </w:r>
          </w:p>
        </w:tc>
        <w:tc>
          <w:tcPr>
            <w:tcW w:w="2336" w:type="dxa"/>
            <w:tcBorders/>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0-15 pkt</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Przewiduje się możliwość skierowania kryterium do poprawy, pod warunkiem uzyskania minimum punktowego</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 xml:space="preserve">Minimum punktowe </w:t>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9 pkt</w:t>
            </w:r>
          </w:p>
          <w:p>
            <w:pPr>
              <w:pStyle w:val="Normal"/>
              <w:widowControl w:val="false"/>
              <w:suppressAutoHyphens w:val="true"/>
              <w:spacing w:lineRule="auto" w:line="240" w:before="0" w:after="0"/>
              <w:jc w:val="center"/>
              <w:rPr>
                <w:b/>
                <w:b/>
                <w:sz w:val="20"/>
              </w:rPr>
            </w:pPr>
            <w:r>
              <w:rPr>
                <w:b/>
                <w:sz w:val="20"/>
              </w:rPr>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r>
        <w:trPr>
          <w:trHeight w:val="246" w:hRule="atLeast"/>
        </w:trPr>
        <w:tc>
          <w:tcPr>
            <w:tcW w:w="1192" w:type="dxa"/>
            <w:tcBorders/>
          </w:tcPr>
          <w:p>
            <w:pPr>
              <w:pStyle w:val="Normal"/>
              <w:widowControl w:val="false"/>
              <w:suppressAutoHyphens w:val="true"/>
              <w:spacing w:lineRule="auto" w:line="240" w:before="0" w:after="0"/>
              <w:ind w:left="425" w:hanging="0"/>
              <w:jc w:val="left"/>
              <w:rPr>
                <w:b/>
                <w:b/>
                <w:sz w:val="20"/>
              </w:rPr>
            </w:pPr>
            <w:r>
              <w:rPr>
                <w:rFonts w:eastAsia="Calibri" w:cs=""/>
                <w:b/>
                <w:kern w:val="0"/>
                <w:sz w:val="20"/>
                <w:szCs w:val="22"/>
                <w:lang w:val="pl-PL" w:eastAsia="en-US" w:bidi="ar-SA"/>
              </w:rPr>
              <w:t>18.</w:t>
            </w:r>
          </w:p>
        </w:tc>
        <w:tc>
          <w:tcPr>
            <w:tcW w:w="3517" w:type="dxa"/>
            <w:tcBorders/>
          </w:tcPr>
          <w:p>
            <w:pPr>
              <w:pStyle w:val="Normal"/>
              <w:widowControl w:val="false"/>
              <w:suppressAutoHyphens w:val="true"/>
              <w:spacing w:lineRule="auto" w:line="240" w:before="0" w:after="0"/>
              <w:jc w:val="left"/>
              <w:rPr>
                <w:b/>
                <w:b/>
                <w:sz w:val="20"/>
              </w:rPr>
            </w:pPr>
            <w:r>
              <w:rPr>
                <w:rFonts w:eastAsia="Calibri" w:cs=""/>
                <w:b/>
                <w:kern w:val="0"/>
                <w:sz w:val="20"/>
                <w:szCs w:val="22"/>
                <w:lang w:val="pl-PL" w:eastAsia="en-US" w:bidi="ar-SA"/>
              </w:rPr>
              <w:t>Budżet - niezbędność wydatków do realizacji zaplanowanych działań</w:t>
            </w:r>
          </w:p>
        </w:tc>
        <w:tc>
          <w:tcPr>
            <w:tcW w:w="4133" w:type="dxa"/>
            <w:tcBorders/>
          </w:tcPr>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Ocenie podlega niezbędność planowanych wydatków w budżecie wniosku o dofinansowanie projektu pilotażowego:</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a) czy wydatki wynikają bezpośrednio z opisanych działań i zostały odpowiednio uzasadnione</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b) czy są niezbędne do realizacji celu projektu i zostaną poniesione w związku z realizacją projektu,</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c) czy są adekwatne do zakresu i specyfiki projektu, czasu jego realizacji,</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d) czy są zaplanowane w sposób racjonalny i efektywny,</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e) czy są zgodne z zapisami Regulaminu udzielania wsparcia,</w:t>
            </w:r>
          </w:p>
          <w:p>
            <w:pPr>
              <w:pStyle w:val="Normal"/>
              <w:widowControl w:val="false"/>
              <w:suppressAutoHyphens w:val="true"/>
              <w:spacing w:lineRule="auto" w:line="240" w:before="0" w:after="0"/>
              <w:jc w:val="left"/>
              <w:rPr>
                <w:sz w:val="20"/>
              </w:rPr>
            </w:pPr>
            <w:r>
              <w:rPr>
                <w:rFonts w:eastAsia="Calibri" w:cs=""/>
                <w:kern w:val="0"/>
                <w:sz w:val="20"/>
                <w:szCs w:val="22"/>
                <w:lang w:val="pl-PL" w:eastAsia="en-US" w:bidi="ar-SA"/>
              </w:rPr>
              <w:t>f) czy koszty administracyjne nie zostały uwzględnione w ramach koszty bezpośrednich.</w:t>
            </w:r>
          </w:p>
        </w:tc>
        <w:tc>
          <w:tcPr>
            <w:tcW w:w="2336" w:type="dxa"/>
            <w:tcBorders/>
          </w:tcPr>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0-8 pkt</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Przewiduje się możliwość skierowania kryterium do poprawy, pod warunkiem uzyskania minimum punktowego</w:t>
            </w:r>
          </w:p>
          <w:p>
            <w:pPr>
              <w:pStyle w:val="Normal"/>
              <w:widowControl w:val="false"/>
              <w:suppressAutoHyphens w:val="true"/>
              <w:spacing w:lineRule="auto" w:line="240" w:before="0" w:after="0"/>
              <w:jc w:val="center"/>
              <w:rPr>
                <w:b/>
                <w:b/>
                <w:sz w:val="20"/>
              </w:rPr>
            </w:pPr>
            <w:r>
              <w:rPr>
                <w:b/>
                <w:sz w:val="20"/>
              </w:rPr>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 xml:space="preserve">Minimum punktowe </w:t>
            </w:r>
          </w:p>
          <w:p>
            <w:pPr>
              <w:pStyle w:val="Normal"/>
              <w:widowControl w:val="false"/>
              <w:suppressAutoHyphens w:val="true"/>
              <w:spacing w:lineRule="auto" w:line="240" w:before="0" w:after="0"/>
              <w:jc w:val="center"/>
              <w:rPr>
                <w:b/>
                <w:b/>
                <w:sz w:val="20"/>
              </w:rPr>
            </w:pPr>
            <w:r>
              <w:rPr>
                <w:rFonts w:eastAsia="Calibri" w:cs=""/>
                <w:b/>
                <w:kern w:val="0"/>
                <w:sz w:val="20"/>
                <w:szCs w:val="22"/>
                <w:lang w:val="pl-PL" w:eastAsia="en-US" w:bidi="ar-SA"/>
              </w:rPr>
              <w:t>4 pkt</w:t>
            </w:r>
          </w:p>
          <w:p>
            <w:pPr>
              <w:pStyle w:val="Normal"/>
              <w:widowControl w:val="false"/>
              <w:suppressAutoHyphens w:val="true"/>
              <w:spacing w:lineRule="auto" w:line="240" w:before="0" w:after="0"/>
              <w:jc w:val="center"/>
              <w:rPr>
                <w:b/>
                <w:b/>
                <w:sz w:val="20"/>
              </w:rPr>
            </w:pPr>
            <w:r>
              <w:rPr>
                <w:b/>
                <w:sz w:val="20"/>
              </w:rPr>
            </w:r>
          </w:p>
        </w:tc>
        <w:tc>
          <w:tcPr>
            <w:tcW w:w="2851" w:type="dxa"/>
            <w:tcBorders/>
          </w:tcPr>
          <w:p>
            <w:pPr>
              <w:pStyle w:val="Normal"/>
              <w:widowControl w:val="false"/>
              <w:suppressAutoHyphens w:val="true"/>
              <w:spacing w:lineRule="auto" w:line="240" w:before="0" w:after="0"/>
              <w:jc w:val="center"/>
              <w:rPr>
                <w:sz w:val="20"/>
              </w:rPr>
            </w:pPr>
            <w:r>
              <w:rPr>
                <w:rFonts w:eastAsia="Calibri" w:cs=""/>
                <w:kern w:val="0"/>
                <w:sz w:val="20"/>
                <w:szCs w:val="22"/>
                <w:lang w:val="pl-PL" w:eastAsia="en-US" w:bidi="ar-SA"/>
              </w:rPr>
              <w:t>Kryterium weryfikowane na podstawie treści wniosku o dofinansowanie projektu pilotażowego</w:t>
            </w:r>
          </w:p>
        </w:tc>
      </w:tr>
    </w:tbl>
    <w:p>
      <w:pPr>
        <w:pStyle w:val="Normal"/>
        <w:spacing w:before="0" w:after="160"/>
        <w:rPr>
          <w:b/>
          <w:b/>
          <w:sz w:val="20"/>
          <w:u w:val="single"/>
        </w:rPr>
      </w:pPr>
      <w:r>
        <w:rPr/>
      </w:r>
    </w:p>
    <w:sectPr>
      <w:headerReference w:type="default" r:id="rId2"/>
      <w:footerReference w:type="default" r:id="rId3"/>
      <w:footnotePr>
        <w:numFmt w:val="decimal"/>
      </w:footnotePr>
      <w:type w:val="nextPage"/>
      <w:pgSz w:orient="landscape" w:w="16838" w:h="11906"/>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Liberation Sans">
    <w:altName w:val="Arial"/>
    <w:charset w:val="ee"/>
    <w:family w:val="roman"/>
    <w:pitch w:val="variable"/>
  </w:font>
  <w:font w:name="Arial">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2739438"/>
    </w:sdtPr>
    <w:sdtContent>
      <w:p>
        <w:pPr>
          <w:pStyle w:val="Stopka"/>
          <w:jc w:val="right"/>
          <w:rPr>
            <w:sz w:val="20"/>
          </w:rPr>
        </w:pPr>
        <w:r>
          <w:rPr>
            <w:sz w:val="20"/>
          </w:rPr>
          <w:fldChar w:fldCharType="begin"/>
        </w:r>
        <w:r>
          <w:rPr>
            <w:sz w:val="20"/>
          </w:rPr>
          <w:instrText xml:space="preserve"> PAGE </w:instrText>
        </w:r>
        <w:r>
          <w:rPr>
            <w:sz w:val="20"/>
          </w:rPr>
          <w:fldChar w:fldCharType="separate"/>
        </w:r>
        <w:r>
          <w:rPr>
            <w:sz w:val="20"/>
          </w:rPr>
          <w:t>8</w:t>
        </w:r>
        <w:r>
          <w:rPr>
            <w:sz w:val="20"/>
          </w:rPr>
          <w:fldChar w:fldCharType="end"/>
        </w:r>
      </w:p>
    </w:sdtContent>
  </w:sdt>
  <w:p>
    <w:pPr>
      <w:pStyle w:val="Stopk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widowControl w:val="false"/>
        <w:jc w:val="both"/>
        <w:rPr/>
      </w:pPr>
      <w:r>
        <w:rPr>
          <w:rStyle w:val="Znakiprzypiswdolnych"/>
        </w:rPr>
        <w:footnoteRef/>
      </w:r>
      <w:r>
        <w:rPr/>
        <w:t xml:space="preserve"> </w:t>
      </w:r>
      <w:r>
        <w:rPr/>
        <w:t>W każdym kryterium zapis „Kryterium weryfikowane na podstawie treści wniosku o dofinansowanie projektu pilotażowego” nie wyklucza wykorzystania w ocenie spełniania kryterium informacji dotyczących wnioskodawcy lub wniosku o dofinansowanie projektu pilotażowego pozyskanych w inny sposób.</w:t>
      </w:r>
    </w:p>
  </w:footnote>
  <w:footnote w:id="3">
    <w:p>
      <w:pPr>
        <w:pStyle w:val="Przypisdolny"/>
        <w:widowControl w:val="false"/>
        <w:rPr/>
      </w:pPr>
      <w:r>
        <w:rPr>
          <w:rStyle w:val="Znakiprzypiswdolnych"/>
        </w:rPr>
        <w:footnoteRef/>
      </w:r>
      <w:r>
        <w:rPr/>
        <w:t xml:space="preserve"> </w:t>
      </w:r>
      <w:r>
        <w:rPr/>
        <w:t>W rozumieniu art. 3 ust 2 ustawy z dnia 24 kwietnia 2003 r. o działalności pożytku publicznego i o wolontariacie (Dz. U. z 2022 r. poz. 1327, z późn. zm.)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jc w:val="center"/>
      <w:rPr/>
    </w:pPr>
    <w:r>
      <w:rPr/>
      <w:drawing>
        <wp:anchor behindDoc="1" distT="0" distB="0" distL="114300" distR="114300" simplePos="0" locked="0" layoutInCell="0" allowOverlap="1" relativeHeight="9">
          <wp:simplePos x="0" y="0"/>
          <wp:positionH relativeFrom="column">
            <wp:posOffset>805180</wp:posOffset>
          </wp:positionH>
          <wp:positionV relativeFrom="paragraph">
            <wp:posOffset>-239395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trackRevision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9d4666"/>
    <w:rPr/>
  </w:style>
  <w:style w:type="character" w:styleId="StopkaZnak" w:customStyle="1">
    <w:name w:val="Stopka Znak"/>
    <w:basedOn w:val="DefaultParagraphFont"/>
    <w:uiPriority w:val="99"/>
    <w:qFormat/>
    <w:rsid w:val="009d4666"/>
    <w:rPr/>
  </w:style>
  <w:style w:type="character" w:styleId="TekstprzypisudolnegoZnak" w:customStyle="1">
    <w:name w:val="Tekst przypisu dolnego Znak"/>
    <w:basedOn w:val="DefaultParagraphFont"/>
    <w:uiPriority w:val="99"/>
    <w:semiHidden/>
    <w:qFormat/>
    <w:rsid w:val="00af3cac"/>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semiHidden/>
    <w:unhideWhenUsed/>
    <w:qFormat/>
    <w:rsid w:val="00af3cac"/>
    <w:rPr>
      <w:vertAlign w:val="superscript"/>
    </w:rPr>
  </w:style>
  <w:style w:type="character" w:styleId="TekstdymkaZnak" w:customStyle="1">
    <w:name w:val="Tekst dymka Znak"/>
    <w:basedOn w:val="DefaultParagraphFont"/>
    <w:link w:val="BalloonText"/>
    <w:uiPriority w:val="99"/>
    <w:semiHidden/>
    <w:qFormat/>
    <w:rsid w:val="00bb7d56"/>
    <w:rPr>
      <w:rFonts w:ascii="Segoe UI" w:hAnsi="Segoe UI" w:cs="Segoe UI"/>
      <w:sz w:val="18"/>
      <w:szCs w:val="18"/>
    </w:rPr>
  </w:style>
  <w:style w:type="character" w:styleId="Annotationreference">
    <w:name w:val="annotation reference"/>
    <w:basedOn w:val="DefaultParagraphFont"/>
    <w:uiPriority w:val="99"/>
    <w:semiHidden/>
    <w:unhideWhenUsed/>
    <w:qFormat/>
    <w:rsid w:val="00960b62"/>
    <w:rPr>
      <w:sz w:val="16"/>
      <w:szCs w:val="16"/>
    </w:rPr>
  </w:style>
  <w:style w:type="character" w:styleId="TekstkomentarzaZnak" w:customStyle="1">
    <w:name w:val="Tekst komentarza Znak"/>
    <w:basedOn w:val="DefaultParagraphFont"/>
    <w:link w:val="Annotationtext"/>
    <w:uiPriority w:val="99"/>
    <w:qFormat/>
    <w:rsid w:val="00960b62"/>
    <w:rPr>
      <w:sz w:val="20"/>
      <w:szCs w:val="20"/>
    </w:rPr>
  </w:style>
  <w:style w:type="character" w:styleId="TematkomentarzaZnak" w:customStyle="1">
    <w:name w:val="Temat komentarza Znak"/>
    <w:basedOn w:val="TekstkomentarzaZnak"/>
    <w:link w:val="Annotationsubject"/>
    <w:uiPriority w:val="99"/>
    <w:semiHidden/>
    <w:qFormat/>
    <w:rsid w:val="00960b62"/>
    <w:rPr>
      <w:b/>
      <w:bCs/>
      <w:sz w:val="20"/>
      <w:szCs w:val="20"/>
    </w:rPr>
  </w:style>
  <w:style w:type="character" w:styleId="Czeinternetowe">
    <w:name w:val="Łącze internetowe"/>
    <w:basedOn w:val="DefaultParagraphFont"/>
    <w:uiPriority w:val="99"/>
    <w:unhideWhenUsed/>
    <w:rsid w:val="001f0739"/>
    <w:rPr>
      <w:color w:val="0563C1" w:themeColor="hyperlink"/>
      <w:u w:val="single"/>
    </w:rPr>
  </w:style>
  <w:style w:type="character" w:styleId="Nierozpoznanawzmianka1" w:customStyle="1">
    <w:name w:val="Nierozpoznana wzmianka1"/>
    <w:basedOn w:val="DefaultParagraphFont"/>
    <w:uiPriority w:val="99"/>
    <w:semiHidden/>
    <w:unhideWhenUsed/>
    <w:qFormat/>
    <w:rsid w:val="001f0739"/>
    <w:rPr>
      <w:color w:val="605E5C"/>
      <w:shd w:fill="E1DFDD" w:val="clear"/>
    </w:rPr>
  </w:style>
  <w:style w:type="character" w:styleId="Znakiprzypiswdolnych">
    <w:name w:val="Znaki przypisów dolnych"/>
    <w:qFormat/>
    <w:rPr/>
  </w:style>
  <w:style w:type="character" w:styleId="Numeracjawierszy">
    <w:name w:val="Numeracja wierszy"/>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Gwkaistopka">
    <w:name w:val="Główka i stopka"/>
    <w:basedOn w:val="Normal"/>
    <w:qFormat/>
    <w:pPr/>
    <w:rPr/>
  </w:style>
  <w:style w:type="paragraph" w:styleId="Gwka">
    <w:name w:val="Header"/>
    <w:basedOn w:val="Normal"/>
    <w:link w:val="NagwekZnak"/>
    <w:uiPriority w:val="99"/>
    <w:unhideWhenUsed/>
    <w:rsid w:val="009d4666"/>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9d4666"/>
    <w:pPr>
      <w:tabs>
        <w:tab w:val="clear" w:pos="708"/>
        <w:tab w:val="center" w:pos="4536" w:leader="none"/>
        <w:tab w:val="right" w:pos="9072" w:leader="none"/>
      </w:tabs>
      <w:spacing w:lineRule="auto" w:line="240" w:before="0" w:after="0"/>
    </w:pPr>
    <w:rPr/>
  </w:style>
  <w:style w:type="paragraph" w:styleId="Default" w:customStyle="1">
    <w:name w:val="Default"/>
    <w:qFormat/>
    <w:rsid w:val="00354e54"/>
    <w:pPr>
      <w:widowControl/>
      <w:suppressAutoHyphens w:val="true"/>
      <w:bidi w:val="0"/>
      <w:spacing w:lineRule="auto" w:line="240" w:before="0" w:after="0"/>
      <w:jc w:val="left"/>
    </w:pPr>
    <w:rPr>
      <w:rFonts w:ascii="Arial" w:hAnsi="Arial" w:eastAsia="Calibri" w:cs="Arial"/>
      <w:color w:val="000000"/>
      <w:kern w:val="0"/>
      <w:sz w:val="24"/>
      <w:szCs w:val="24"/>
      <w:lang w:val="pl-PL" w:eastAsia="en-US" w:bidi="ar-SA"/>
    </w:rPr>
  </w:style>
  <w:style w:type="paragraph" w:styleId="ListParagraph">
    <w:name w:val="List Paragraph"/>
    <w:basedOn w:val="Normal"/>
    <w:uiPriority w:val="34"/>
    <w:qFormat/>
    <w:rsid w:val="00354e54"/>
    <w:pPr>
      <w:spacing w:before="0" w:after="160"/>
      <w:ind w:left="720" w:hanging="0"/>
      <w:contextualSpacing/>
    </w:pPr>
    <w:rPr/>
  </w:style>
  <w:style w:type="paragraph" w:styleId="Przypisdolny">
    <w:name w:val="Footnote Text"/>
    <w:basedOn w:val="Normal"/>
    <w:link w:val="TekstprzypisudolnegoZnak"/>
    <w:uiPriority w:val="99"/>
    <w:semiHidden/>
    <w:unhideWhenUsed/>
    <w:rsid w:val="00af3cac"/>
    <w:pPr>
      <w:spacing w:lineRule="auto" w:line="240" w:before="0" w:after="0"/>
    </w:pPr>
    <w:rPr>
      <w:sz w:val="20"/>
      <w:szCs w:val="20"/>
    </w:rPr>
  </w:style>
  <w:style w:type="paragraph" w:styleId="BalloonText">
    <w:name w:val="Balloon Text"/>
    <w:basedOn w:val="Normal"/>
    <w:link w:val="TekstdymkaZnak"/>
    <w:uiPriority w:val="99"/>
    <w:semiHidden/>
    <w:unhideWhenUsed/>
    <w:qFormat/>
    <w:rsid w:val="00bb7d56"/>
    <w:pPr>
      <w:spacing w:lineRule="auto" w:line="240" w:before="0" w:after="0"/>
    </w:pPr>
    <w:rPr>
      <w:rFonts w:ascii="Segoe UI" w:hAnsi="Segoe UI" w:cs="Segoe UI"/>
      <w:sz w:val="18"/>
      <w:szCs w:val="18"/>
    </w:rPr>
  </w:style>
  <w:style w:type="paragraph" w:styleId="Annotationtext">
    <w:name w:val="annotation text"/>
    <w:basedOn w:val="Normal"/>
    <w:link w:val="TekstkomentarzaZnak"/>
    <w:uiPriority w:val="99"/>
    <w:unhideWhenUsed/>
    <w:qFormat/>
    <w:rsid w:val="00960b62"/>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960b62"/>
    <w:pPr/>
    <w:rPr>
      <w:b/>
      <w:bCs/>
    </w:rPr>
  </w:style>
  <w:style w:type="paragraph" w:styleId="Normalny1" w:customStyle="1">
    <w:name w:val="Normalny1"/>
    <w:qFormat/>
    <w:rsid w:val="003b56a6"/>
    <w:pPr>
      <w:widowControl/>
      <w:suppressAutoHyphens w:val="true"/>
      <w:bidi w:val="0"/>
      <w:spacing w:lineRule="auto" w:line="240" w:before="0" w:after="0"/>
      <w:jc w:val="left"/>
    </w:pPr>
    <w:rPr>
      <w:rFonts w:ascii="Calibri" w:hAnsi="Calibri" w:eastAsia="Calibri" w:cs="Calibri"/>
      <w:color w:val="000000"/>
      <w:kern w:val="0"/>
      <w:sz w:val="20"/>
      <w:szCs w:val="20"/>
      <w:lang w:val="pl-PL" w:eastAsia="pl-PL" w:bidi="ar-SA"/>
    </w:rPr>
  </w:style>
  <w:style w:type="paragraph" w:styleId="Revision">
    <w:name w:val="Revision"/>
    <w:uiPriority w:val="99"/>
    <w:semiHidden/>
    <w:qFormat/>
    <w:rsid w:val="00387c7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9d4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B971-0EB1-4B09-A50B-37A5E89E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LibreOffice/7.3.2.2$Windows_X86_64 LibreOffice_project/49f2b1bff42cfccbd8f788c8dc32c1c309559be0</Application>
  <AppVersion>15.0000</AppVersion>
  <Pages>8</Pages>
  <Words>1938</Words>
  <Characters>13522</Characters>
  <CharactersWithSpaces>15322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2022-10-26T10:13:00Z</dcterms:created>
  <dc:creator>Milena Skopińska</dc:creator>
  <dc:description/>
  <dc:language>pl-PL</dc:language>
  <cp:lastModifiedBy/>
  <cp:lastPrinted>2022-04-22T06:30:00Z</cp:lastPrinted>
  <dcterms:modified xsi:type="dcterms:W3CDTF">2023-06-27T15:57:09Z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