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gwek1"/>
        <w:spacing w:lineRule="auto" w:line="276" w:before="195" w:after="0"/>
        <w:ind w:left="718" w:right="297" w:hanging="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Procedury dotyczące realizacji i rozliczania projektów pilotażowych oraz </w:t>
      </w:r>
      <w:r>
        <w:rPr>
          <w:rFonts w:cs="Calibri" w:ascii="Calibri" w:hAnsi="Calibri" w:asciiTheme="minorHAnsi" w:cstheme="minorHAnsi" w:hAnsiTheme="minorHAnsi"/>
          <w:bCs w:val="false"/>
          <w:sz w:val="24"/>
          <w:szCs w:val="24"/>
        </w:rPr>
        <w:t>odzyskiwania środków w przypadku ich wykorzystania niezgodnie z celami projektu pilotażowego</w:t>
      </w:r>
      <w:bookmarkStart w:id="0" w:name="_Hlk111708468"/>
      <w:bookmarkEnd w:id="0"/>
    </w:p>
    <w:p>
      <w:pPr>
        <w:pStyle w:val="Tretekstu"/>
        <w:spacing w:lineRule="auto" w:line="276" w:before="4" w:after="0"/>
        <w:ind w:left="0" w:hanging="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Tretekstu"/>
        <w:spacing w:lineRule="auto" w:line="276" w:before="4" w:after="0"/>
        <w:ind w:left="0" w:hanging="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"/>
        <w:spacing w:lineRule="auto" w:line="276"/>
        <w:ind w:left="714" w:right="297" w:hanging="0"/>
        <w:jc w:val="center"/>
        <w:rPr/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§ 1</w:t>
      </w:r>
    </w:p>
    <w:p>
      <w:pPr>
        <w:pStyle w:val="Normal"/>
        <w:spacing w:lineRule="auto" w:line="276" w:before="38" w:after="0"/>
        <w:ind w:left="718" w:right="296" w:hanging="0"/>
        <w:jc w:val="center"/>
        <w:rPr/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Postanowienia ogólne</w:t>
      </w:r>
    </w:p>
    <w:p>
      <w:pPr>
        <w:pStyle w:val="Tretekstu"/>
        <w:spacing w:lineRule="auto" w:line="276" w:before="4" w:after="0"/>
        <w:ind w:left="0" w:hanging="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532" w:leader="none"/>
          <w:tab w:val="left" w:pos="533" w:leader="none"/>
        </w:tabs>
        <w:spacing w:lineRule="auto" w:line="276"/>
        <w:ind w:left="532" w:hanging="424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Terminy użyte w niniejszej Procedurze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oznaczają: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 w:before="39" w:after="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Beneficjent projektu pilotażowego – wnioskodawca, którego projekt pilotażowy złożony na konkurs ogłoszony przez LGD, otrzymał pozytywny wynik oceny i został wybrany do dofinansowania;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 w:before="39" w:after="0"/>
        <w:ind w:left="960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LGD – Stowarzyszenie Lokalna Grupa Działania Chełmno;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 w:before="38" w:after="0"/>
        <w:ind w:left="960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Projekt pilotażowy -należy przez to rozumieć przedsięwzięcie szczegółowo określone we wniosku o dofinansowanie projektu pilotażowego, na które Beneficjent projektu pilotażowego otrzymuje dofinansowanie (środki finansowe) od LGD, wyłonione w procedurze naboru zmierzające do osiągnięcia założonego celu projektu pilotażowego określonego wskaźnikami, z określonym początkiem i końcem realizacji; 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 w:before="38" w:after="0"/>
        <w:ind w:left="960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Wnioskodawca – podmiot składający wniosek o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dofinansowanie projektu pilotażowego; 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 w:before="38" w:after="0"/>
        <w:ind w:left="960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Instytucja Zarządzającej RPO WK-P (IZ WK-P) – należy przez to rozumieć Województwo Kujawsko–Pomorskie, reprezentowane przez Zarząd Województwa Kujawsko–Pomorskiego, pełniący funkcję Instytucji Zarządzającej Regionalnym Programem Operacyjnym Województwa Kujawsko-Pomorskiego na lata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2014-2020;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 w:before="1" w:after="0"/>
        <w:ind w:left="960" w:right="247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SzOOP – należy przez to rozumieć Szczegółowy Opis Osi Priorytetowych Regionalnego Programu Operacyjnego Województwa Kujawsko-Pomorskiego na lata 2014-2020 przyjęty uchwałą nr 34/1171/15 Zarządu Województwa Kujawsko-Pomorskiego z 26 sierpnia 2015 r. w sprawie przyjęcia Szczegółowego Opisu Osi Priorytetowych Regionalnego Programu Operacyjnego Województwa Kujawsko-Pomorskiego na lata 2014-2020 („SZOOP RPO”) z późn. zm.; 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 w:before="38" w:after="0"/>
        <w:ind w:left="960" w:right="108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Kwota uproszczona – należy przez to rozumieć kwotę uzgodnioną za wykonanie całego projektu pilotażowego objętego dofinansowaniem na etapie zatwierdzenia przez LGD wniosku o dofinansowanie projektu pilotażowego, do kwoty uproszczonej należy stosować zapisy Wytycznych w zakresie kwalifikowalności dot. kwot ryczałtowych, z uwzględnieniem przy rozliczaniu reguły proporcjonalności;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/>
        <w:ind w:left="960" w:right="111" w:hanging="361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Siła wyższa – należy przez to rozumieć zdarzenie:</w:t>
      </w:r>
    </w:p>
    <w:p>
      <w:pPr>
        <w:pStyle w:val="ListParagraph"/>
        <w:tabs>
          <w:tab w:val="clear" w:pos="708"/>
          <w:tab w:val="left" w:pos="961" w:leader="none"/>
        </w:tabs>
        <w:spacing w:lineRule="auto" w:line="276"/>
        <w:ind w:left="960" w:right="111" w:hanging="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a) zewnętrzne – mające swe źródło poza podmiotem, z którego działaniem związana jest odpowiedzialność odszkodowawcza,</w:t>
      </w:r>
    </w:p>
    <w:p>
      <w:pPr>
        <w:pStyle w:val="ListParagraph"/>
        <w:tabs>
          <w:tab w:val="clear" w:pos="708"/>
          <w:tab w:val="left" w:pos="961" w:leader="none"/>
        </w:tabs>
        <w:spacing w:lineRule="auto" w:line="276"/>
        <w:ind w:left="960" w:right="111" w:hanging="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b) niemożliwe do przewidzenia, przy czym nie chodzi tu o absolutną niemożliwość przewidzenia jakiegoś zdarzenia, lecz o mały stopień prawdopodobieństwa jego pojawienia się w określonej sytuacji w świetle obiektywnej oceny wydarzeń,</w:t>
      </w:r>
    </w:p>
    <w:p>
      <w:pPr>
        <w:pStyle w:val="ListParagraph"/>
        <w:tabs>
          <w:tab w:val="clear" w:pos="708"/>
          <w:tab w:val="left" w:pos="961" w:leader="none"/>
        </w:tabs>
        <w:spacing w:lineRule="auto" w:line="276"/>
        <w:ind w:left="960" w:right="111" w:hanging="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c) niemożliwe do zapobieżenia – nie tyle samemu zjawisku, ale szkodliwym jego następstwom przy zastosowaniu współczesnej techniki,</w:t>
      </w:r>
    </w:p>
    <w:p>
      <w:pPr>
        <w:pStyle w:val="ListParagraph"/>
        <w:tabs>
          <w:tab w:val="clear" w:pos="708"/>
          <w:tab w:val="left" w:pos="961" w:leader="none"/>
        </w:tabs>
        <w:spacing w:lineRule="auto" w:line="276"/>
        <w:ind w:left="960" w:right="111" w:hanging="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d) które zasadniczo i istotnie utrudnia wykonywanie części lub całości zobowiązań wynikających z Umowy o dofinansowanie na realizację projektu pilotażowego, lub całkowicie uniemożliwia jej realizację;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/>
        <w:ind w:left="960" w:right="110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Wniosek o dofinansowanie– należy przez to rozumieć wniosek o dofinansowanie projektu pilotażowego złożony w odpowiedzi na nabór 2023/PP/1 wraz z ewentualnymi zatwierdzonymi przez LGD aktualizacjami;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/>
        <w:ind w:left="960" w:right="111" w:hanging="361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Wniosek o płatność – wniosek wnioskujący o zaliczkę, wniosek sprawozdawczy, wniosek końcowy wraz z załącznikami niezbędnymi do rozliczenia kwoty ryczałtowej;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/>
        <w:ind w:left="960" w:right="109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Wydatki kwalifikowalne – należy przez to rozumieć wydatki i koszty poniesione przez Beneficjenta projektu pilotażowego, uznane za kwalifikowalne i spełniające kryteria, zgodnie z rozporządzeniem ogólnym, rozporządzeniem EFS, jak również w rozumieniu ustawy wdrożeniowej i przepisów rozporządzeń wydanych do ustawy wdrożeniowej oraz zgodnie z krajowymi zasadami kwalifikowalności wydatków w okresie programowania 2014-2020 i z SzOOP, jak również z wytycznymi;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/>
        <w:ind w:left="960" w:right="115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Zaliczka – należy przez to rozumieć określoną część kwoty dofinansowania przyznanego </w:t>
        <w:br/>
        <w:t>w Umowie o dofinansowanie na realizację projektu pilotażowego, wypłaconą przez LGD na rachunek bankowy wskazany przez Beneficjenta projektu pilotażowego na pokrycie części wydatków, przed ich rozliczeniem;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/>
        <w:ind w:left="960" w:right="115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Refundacja –  należy przez to rozumieć zwrot Beneficjentowi projektu pilotażowego, faktycznie poniesionych i w całości zapłaconych wcześniej ze środków własnych Beneficjenta projektu pilotażowego, części wydatków kwalifikowalnych na realizację projektu pilotażowego, dokonywany przez LGD po spełnieniu warunków określonych w Umowie o dofinansowanie na realizację projektu pilotażowego.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532" w:leader="none"/>
          <w:tab w:val="left" w:pos="533" w:leader="none"/>
        </w:tabs>
        <w:spacing w:lineRule="auto" w:line="276"/>
        <w:ind w:left="532" w:hanging="424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Procedura jest dokumentem określającym zasady realizacji i rozliczenia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projektu pilotażowego.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532" w:leader="none"/>
          <w:tab w:val="left" w:pos="533" w:leader="none"/>
        </w:tabs>
        <w:spacing w:lineRule="auto" w:line="276" w:before="37" w:after="0"/>
        <w:ind w:left="532" w:right="115" w:hanging="424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</w:t>
      </w:r>
      <w:r>
        <w:rPr>
          <w:rFonts w:cs="Calibri" w:ascii="Calibri" w:hAnsi="Calibri" w:asciiTheme="minorHAnsi" w:cstheme="minorHAnsi" w:hAnsiTheme="minorHAnsi"/>
          <w:spacing w:val="-1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przypadku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zmiany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przepisów</w:t>
      </w:r>
      <w:r>
        <w:rPr>
          <w:rFonts w:cs="Calibri" w:ascii="Calibri" w:hAnsi="Calibri" w:asciiTheme="minorHAnsi" w:cstheme="minorHAnsi" w:hAnsiTheme="minorHAnsi"/>
          <w:spacing w:val="-1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prawa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lub</w:t>
      </w:r>
      <w:r>
        <w:rPr>
          <w:rFonts w:cs="Calibri" w:ascii="Calibri" w:hAnsi="Calibri" w:asciiTheme="minorHAnsi" w:cstheme="minorHAnsi" w:hAnsiTheme="minorHAnsi"/>
          <w:spacing w:val="-1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wytycznych,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istotnych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dla</w:t>
      </w:r>
      <w:r>
        <w:rPr>
          <w:rFonts w:cs="Calibri" w:ascii="Calibri" w:hAnsi="Calibri" w:asciiTheme="minorHAnsi" w:cstheme="minorHAnsi" w:hAnsiTheme="minorHAnsi"/>
          <w:spacing w:val="-1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uregulowań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zawartych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  <w:br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</w:t>
      </w:r>
      <w:r>
        <w:rPr>
          <w:rFonts w:cs="Calibri" w:ascii="Calibri" w:hAnsi="Calibri" w:asciiTheme="minorHAnsi" w:cstheme="minorHAnsi" w:hAnsiTheme="minorHAnsi"/>
          <w:spacing w:val="-1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Procedurze,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LGD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zastrzega sobie możliwość wprowadzania w niej niezbędnych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dostosowań.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532" w:leader="none"/>
          <w:tab w:val="left" w:pos="533" w:leader="none"/>
        </w:tabs>
        <w:spacing w:lineRule="auto" w:line="276" w:before="1" w:after="0"/>
        <w:ind w:left="532" w:hanging="424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Procedura została sporządzona w oparciu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o: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 w:before="38" w:after="0"/>
        <w:ind w:left="960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Regionalny Program Operacyjny Województwa Kujawsko-Pomorskiego na lata 2014-2020 RPO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WK-P);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 w:before="38" w:after="0"/>
        <w:ind w:left="960" w:right="109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Szczegółowy</w:t>
      </w:r>
      <w:r>
        <w:rPr>
          <w:rFonts w:cs="Calibri" w:ascii="Calibri" w:hAnsi="Calibri" w:asciiTheme="minorHAnsi" w:cstheme="minorHAnsi" w:hAnsiTheme="minorHAnsi"/>
          <w:spacing w:val="-1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Opis</w:t>
      </w:r>
      <w:r>
        <w:rPr>
          <w:rFonts w:cs="Calibri" w:ascii="Calibri" w:hAnsi="Calibri" w:asciiTheme="minorHAnsi" w:cstheme="minorHAnsi" w:hAnsiTheme="minorHAnsi"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Osi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Priorytetowych</w:t>
      </w:r>
      <w:r>
        <w:rPr>
          <w:rFonts w:cs="Calibri" w:ascii="Calibri" w:hAnsi="Calibri" w:asciiTheme="minorHAnsi" w:cstheme="minorHAnsi" w:hAnsiTheme="minorHAnsi"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Regionalnego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Programu</w:t>
      </w:r>
      <w:r>
        <w:rPr>
          <w:rFonts w:cs="Calibri" w:ascii="Calibri" w:hAnsi="Calibri" w:asciiTheme="minorHAnsi" w:cstheme="minorHAnsi" w:hAnsiTheme="minorHAnsi"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Operacyjnego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Województwa</w:t>
      </w:r>
      <w:r>
        <w:rPr>
          <w:rFonts w:cs="Calibri" w:ascii="Calibri" w:hAnsi="Calibri" w:asciiTheme="minorHAnsi" w:cstheme="minorHAnsi" w:hAnsiTheme="minorHAnsi"/>
          <w:spacing w:val="-1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Kujawsko-Pomorskiego na lata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2014-2020;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 w:before="1" w:after="0"/>
        <w:ind w:left="960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ustawę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dnia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20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lutego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2015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r.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rozwoju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lokalnym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udziałem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lokalnej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społeczności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  <w:br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(Dz. U.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z 2022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poz.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943);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 w:before="38" w:after="0"/>
        <w:ind w:left="960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ustawę</w:t>
      </w:r>
      <w:r>
        <w:rPr>
          <w:rFonts w:cs="Calibri" w:ascii="Calibri" w:hAnsi="Calibri" w:asciiTheme="minorHAnsi" w:cstheme="minorHAnsi" w:hAnsiTheme="minorHAnsi"/>
          <w:spacing w:val="3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</w:t>
      </w:r>
      <w:r>
        <w:rPr>
          <w:rFonts w:cs="Calibri" w:ascii="Calibri" w:hAnsi="Calibri" w:asciiTheme="minorHAnsi" w:cstheme="minorHAnsi" w:hAnsiTheme="minorHAnsi"/>
          <w:spacing w:val="3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dnia</w:t>
      </w:r>
      <w:r>
        <w:rPr>
          <w:rFonts w:cs="Calibri" w:ascii="Calibri" w:hAnsi="Calibri" w:asciiTheme="minorHAnsi" w:cstheme="minorHAnsi" w:hAnsiTheme="minorHAnsi"/>
          <w:spacing w:val="3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11</w:t>
      </w:r>
      <w:r>
        <w:rPr>
          <w:rFonts w:cs="Calibri" w:ascii="Calibri" w:hAnsi="Calibri" w:asciiTheme="minorHAnsi" w:cstheme="minorHAnsi" w:hAnsiTheme="minorHAnsi"/>
          <w:spacing w:val="3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lipca</w:t>
      </w:r>
      <w:r>
        <w:rPr>
          <w:rFonts w:cs="Calibri" w:ascii="Calibri" w:hAnsi="Calibri" w:asciiTheme="minorHAnsi" w:cstheme="minorHAnsi" w:hAnsiTheme="minorHAnsi"/>
          <w:spacing w:val="3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2014</w:t>
      </w:r>
      <w:r>
        <w:rPr>
          <w:rFonts w:cs="Calibri" w:ascii="Calibri" w:hAnsi="Calibri" w:asciiTheme="minorHAnsi" w:cstheme="minorHAnsi" w:hAnsiTheme="minorHAnsi"/>
          <w:spacing w:val="3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r.</w:t>
      </w:r>
      <w:r>
        <w:rPr>
          <w:rFonts w:cs="Calibri" w:ascii="Calibri" w:hAnsi="Calibri" w:asciiTheme="minorHAnsi" w:cstheme="minorHAnsi" w:hAnsiTheme="minorHAnsi"/>
          <w:spacing w:val="3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</w:t>
      </w:r>
      <w:r>
        <w:rPr>
          <w:rFonts w:cs="Calibri" w:ascii="Calibri" w:hAnsi="Calibri" w:asciiTheme="minorHAnsi" w:cstheme="minorHAnsi" w:hAnsiTheme="minorHAnsi"/>
          <w:spacing w:val="3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zasadach</w:t>
      </w:r>
      <w:r>
        <w:rPr>
          <w:rFonts w:cs="Calibri" w:ascii="Calibri" w:hAnsi="Calibri" w:asciiTheme="minorHAnsi" w:cstheme="minorHAnsi" w:hAnsiTheme="minorHAnsi"/>
          <w:spacing w:val="3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realizacji</w:t>
      </w:r>
      <w:r>
        <w:rPr>
          <w:rFonts w:cs="Calibri" w:ascii="Calibri" w:hAnsi="Calibri" w:asciiTheme="minorHAnsi" w:cstheme="minorHAnsi" w:hAnsiTheme="minorHAnsi"/>
          <w:spacing w:val="3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programów</w:t>
      </w:r>
      <w:r>
        <w:rPr>
          <w:rFonts w:cs="Calibri" w:ascii="Calibri" w:hAnsi="Calibri" w:asciiTheme="minorHAnsi" w:cstheme="minorHAnsi" w:hAnsiTheme="minorHAnsi"/>
          <w:spacing w:val="3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</w:t>
      </w:r>
      <w:r>
        <w:rPr>
          <w:rFonts w:cs="Calibri" w:ascii="Calibri" w:hAnsi="Calibri" w:asciiTheme="minorHAnsi" w:cstheme="minorHAnsi" w:hAnsiTheme="minorHAnsi"/>
          <w:spacing w:val="3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zakresie</w:t>
      </w:r>
      <w:r>
        <w:rPr>
          <w:rFonts w:cs="Calibri" w:ascii="Calibri" w:hAnsi="Calibri" w:asciiTheme="minorHAnsi" w:cstheme="minorHAnsi" w:hAnsiTheme="minorHAnsi"/>
          <w:spacing w:val="3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polityki</w:t>
      </w:r>
      <w:r>
        <w:rPr>
          <w:rFonts w:cs="Calibri" w:ascii="Calibri" w:hAnsi="Calibri" w:asciiTheme="minorHAnsi" w:cstheme="minorHAnsi" w:hAnsiTheme="minorHAnsi"/>
          <w:spacing w:val="3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spójności</w:t>
      </w:r>
      <w:r>
        <w:rPr>
          <w:rFonts w:cs="Calibri" w:ascii="Calibri" w:hAnsi="Calibri" w:asciiTheme="minorHAnsi" w:cstheme="minorHAnsi" w:hAnsiTheme="minorHAnsi"/>
          <w:spacing w:val="3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finansowanych w perspektywie finansowej 2014-2020 (Dz. U. z 2020 poz. 818).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532" w:leader="none"/>
          <w:tab w:val="left" w:pos="533" w:leader="none"/>
        </w:tabs>
        <w:spacing w:lineRule="auto" w:line="276"/>
        <w:ind w:left="532" w:hanging="424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Beneficjentów RPO WK-P obowiązują następujące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wytyczne: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 w:before="38" w:after="0"/>
        <w:ind w:left="960" w:right="116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Wytyczne Ministra Rozwoju w zakresie kwalifikowalności wydatków w ramach Europejskiego Funduszu Rozwoju Regionalnego, Europejskiego Funduszu Społecznego oraz Funduszu Spójności na lata</w:t>
      </w:r>
      <w:r>
        <w:rPr>
          <w:rFonts w:cs="Calibri" w:ascii="Calibri" w:hAnsi="Calibri" w:asciiTheme="minorHAnsi" w:cs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2014-2020;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/>
        <w:ind w:left="960" w:right="106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Wytyczne Ministra Infrastruktury i Rozwoju w zakresie sposobu korygowania i odzyskiwania nieprawidłowości wydatków oraz raportowania nieprawidłowości w ramach programów operacyjnych polityki spójności na lata 2014- 2020;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/>
        <w:ind w:left="960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Wytyczne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Ministra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Infrastruktury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i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Rozwoju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zakresie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kontroli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realizacji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programów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operacyjnych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na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lata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2014-2020;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 w:before="38" w:after="0"/>
        <w:ind w:left="960" w:right="109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Wytyczne Ministra Infrastruktury i Rozwoju w zakresie realizacji zasady równości szans </w:t>
        <w:br/>
        <w:t>i niedyskryminacji, w tym dostępność dla osób z niepełnosprawnościami oraz zasady równości szans kobiet i mężczyzn w ramach funduszy unijnych na lata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2014-2020;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 w:before="1" w:after="0"/>
        <w:ind w:left="960" w:right="116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Wytyczne Ministra Infrastruktury i Rozwoju w zakresie informacji i promocji programów operacyjnych polityki spójności na lata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2014-2020;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1" w:leader="none"/>
        </w:tabs>
        <w:spacing w:lineRule="auto" w:line="276" w:before="91" w:after="0"/>
        <w:ind w:left="960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Wytyczne</w:t>
      </w:r>
      <w:r>
        <w:rPr>
          <w:rFonts w:cs="Calibri" w:ascii="Calibri" w:hAnsi="Calibri" w:asciiTheme="minorHAnsi" w:cstheme="minorHAnsi" w:hAnsiTheme="minorHAnsi"/>
          <w:spacing w:val="1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Ministra</w:t>
      </w:r>
      <w:r>
        <w:rPr>
          <w:rFonts w:cs="Calibri" w:ascii="Calibri" w:hAnsi="Calibri" w:asciiTheme="minorHAnsi" w:cstheme="minorHAnsi" w:hAnsiTheme="minorHAnsi"/>
          <w:spacing w:val="2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Infrastruktury</w:t>
      </w:r>
      <w:r>
        <w:rPr>
          <w:rFonts w:cs="Calibri" w:ascii="Calibri" w:hAnsi="Calibri" w:asciiTheme="minorHAnsi" w:cstheme="minorHAnsi" w:hAnsiTheme="minorHAnsi"/>
          <w:spacing w:val="2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i</w:t>
      </w:r>
      <w:r>
        <w:rPr>
          <w:rFonts w:cs="Calibri" w:ascii="Calibri" w:hAnsi="Calibri" w:asciiTheme="minorHAnsi" w:cstheme="minorHAnsi" w:hAnsiTheme="minorHAnsi"/>
          <w:spacing w:val="2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Rozwoju</w:t>
      </w:r>
      <w:r>
        <w:rPr>
          <w:rFonts w:cs="Calibri" w:ascii="Calibri" w:hAnsi="Calibri" w:asciiTheme="minorHAnsi" w:cstheme="minorHAnsi" w:hAnsiTheme="minorHAnsi"/>
          <w:spacing w:val="2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</w:t>
      </w:r>
      <w:r>
        <w:rPr>
          <w:rFonts w:cs="Calibri" w:ascii="Calibri" w:hAnsi="Calibri" w:asciiTheme="minorHAnsi" w:cstheme="minorHAnsi" w:hAnsiTheme="minorHAnsi"/>
          <w:spacing w:val="1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zakresie</w:t>
      </w:r>
      <w:r>
        <w:rPr>
          <w:rFonts w:cs="Calibri" w:ascii="Calibri" w:hAnsi="Calibri" w:asciiTheme="minorHAnsi" w:cstheme="minorHAnsi" w:hAnsiTheme="minorHAnsi"/>
          <w:spacing w:val="2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monitorowania</w:t>
      </w:r>
      <w:r>
        <w:rPr>
          <w:rFonts w:cs="Calibri" w:ascii="Calibri" w:hAnsi="Calibri" w:asciiTheme="minorHAnsi" w:cstheme="minorHAnsi" w:hAnsiTheme="minorHAnsi"/>
          <w:spacing w:val="2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postępu</w:t>
      </w:r>
      <w:r>
        <w:rPr>
          <w:rFonts w:cs="Calibri" w:ascii="Calibri" w:hAnsi="Calibri" w:asciiTheme="minorHAnsi" w:cstheme="minorHAnsi" w:hAnsiTheme="minorHAnsi"/>
          <w:spacing w:val="2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rzeczowego</w:t>
      </w:r>
      <w:r>
        <w:rPr>
          <w:rFonts w:cs="Calibri" w:ascii="Calibri" w:hAnsi="Calibri" w:asciiTheme="minorHAnsi" w:cstheme="minorHAnsi" w:hAnsiTheme="minorHAnsi"/>
          <w:spacing w:val="2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realizacji</w:t>
      </w:r>
      <w:r>
        <w:rPr>
          <w:rFonts w:cs="Calibri" w:ascii="Calibri" w:hAnsi="Calibri" w:asciiTheme="minorHAnsi" w:cstheme="minorHAnsi" w:hAnsiTheme="minorHAnsi"/>
          <w:spacing w:val="2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programów operacyjnych na lata 2014-2020; 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960" w:leader="none"/>
          <w:tab w:val="left" w:pos="961" w:leader="none"/>
        </w:tabs>
        <w:spacing w:lineRule="auto" w:line="276" w:before="38" w:after="0"/>
        <w:ind w:left="960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Wytyczne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zakresie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warunków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gromadzenia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i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przekazywania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danych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postaci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elektronicznej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na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lata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2014-2020.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533" w:leader="none"/>
        </w:tabs>
        <w:spacing w:lineRule="auto" w:line="276" w:before="36" w:after="0"/>
        <w:ind w:left="532" w:right="114" w:hanging="424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LGD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jako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beneficjent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środków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RPO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WK-P,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jest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zobowiązany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stosowania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wszelkich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zasad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związanych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planowaniem, realizowaniem i rozliczaniem projektów, zgodnie z zasadami określonymi w wyżej wymienionych</w:t>
      </w:r>
      <w:r>
        <w:rPr>
          <w:rFonts w:cs="Calibri" w:ascii="Calibri" w:hAnsi="Calibri" w:asciiTheme="minorHAnsi" w:cstheme="minorHAnsi" w:hAnsiTheme="minorHAnsi"/>
          <w:spacing w:val="-2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wytycznych.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533" w:leader="none"/>
        </w:tabs>
        <w:spacing w:lineRule="auto" w:line="276"/>
        <w:ind w:left="532" w:right="113" w:hanging="424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Do oceny kwalifikowalności poniesionych wydatków stosuje się obowiązującą w dniu poniesienia wydatku wersję Wytycznych w zakresie kwalifikowalności wydatków. </w:t>
        <w:br/>
        <w:t>W przypadku, gdy ogłoszona w trakcie realizacji projektu pilotażowego (po podpisaniu Umowy) wersja ww. wytycznych wprowadza rozwiązania korzystniejsze dla Beneficjenta projektu pilotażowego,</w:t>
      </w:r>
      <w:r>
        <w:rPr>
          <w:rFonts w:cs="Calibri" w:ascii="Calibri" w:hAnsi="Calibri" w:asciiTheme="minorHAnsi" w:cstheme="minorHAnsi" w:hAnsiTheme="minorHAnsi"/>
          <w:spacing w:val="-1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będą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one</w:t>
      </w:r>
      <w:r>
        <w:rPr>
          <w:rFonts w:cs="Calibri" w:ascii="Calibri" w:hAnsi="Calibri" w:asciiTheme="minorHAnsi" w:cstheme="minorHAnsi" w:hAnsiTheme="minorHAnsi"/>
          <w:spacing w:val="-1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miały</w:t>
      </w:r>
      <w:r>
        <w:rPr>
          <w:rFonts w:cs="Calibri" w:ascii="Calibri" w:hAnsi="Calibri" w:asciiTheme="minorHAnsi" w:cstheme="minorHAnsi" w:hAnsiTheme="minorHAnsi"/>
          <w:spacing w:val="-1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zastosowanie</w:t>
      </w:r>
      <w:r>
        <w:rPr>
          <w:rFonts w:cs="Calibri" w:ascii="Calibri" w:hAnsi="Calibri" w:asciiTheme="minorHAnsi" w:cstheme="minorHAnsi" w:hAnsiTheme="minorHAnsi"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</w:t>
      </w:r>
      <w:r>
        <w:rPr>
          <w:rFonts w:cs="Calibri" w:ascii="Calibri" w:hAnsi="Calibri" w:asciiTheme="minorHAnsi" w:cstheme="minorHAnsi" w:hAnsiTheme="minorHAnsi"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odniesieniu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</w:t>
      </w:r>
      <w:r>
        <w:rPr>
          <w:rFonts w:cs="Calibri" w:ascii="Calibri" w:hAnsi="Calibri" w:asciiTheme="minorHAnsi" w:cstheme="minorHAnsi" w:hAnsiTheme="minorHAnsi"/>
          <w:spacing w:val="-1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wydatków</w:t>
      </w:r>
      <w:r>
        <w:rPr>
          <w:rFonts w:cs="Calibri" w:ascii="Calibri" w:hAnsi="Calibri" w:asciiTheme="minorHAnsi" w:cstheme="minorHAnsi" w:hAnsiTheme="minorHAnsi"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poniesionych przed</w:t>
      </w:r>
      <w:r>
        <w:rPr>
          <w:rFonts w:cs="Calibri" w:ascii="Calibri" w:hAnsi="Calibri" w:asciiTheme="minorHAnsi" w:cstheme="minorHAnsi" w:hAnsiTheme="minorHAnsi"/>
          <w:spacing w:val="-1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dniem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stosowania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ww.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wersji</w:t>
      </w:r>
      <w:r>
        <w:rPr>
          <w:rFonts w:cs="Calibri" w:ascii="Calibri" w:hAnsi="Calibri" w:asciiTheme="minorHAnsi" w:cstheme="minorHAnsi" w:hAnsiTheme="minorHAnsi"/>
          <w:spacing w:val="-1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wytycznych,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zastrzeżeniem</w:t>
      </w:r>
      <w:r>
        <w:rPr>
          <w:rFonts w:cs="Calibri" w:ascii="Calibri" w:hAnsi="Calibri" w:asciiTheme="minorHAnsi" w:cstheme="minorHAnsi" w:hAnsiTheme="minorHAnsi"/>
          <w:spacing w:val="-1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uregulowań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zawartych</w:t>
      </w:r>
      <w:r>
        <w:rPr>
          <w:rFonts w:cs="Calibri" w:ascii="Calibri" w:hAnsi="Calibri" w:asciiTheme="minorHAnsi" w:cstheme="minorHAnsi" w:hAnsiTheme="minorHAnsi"/>
          <w:spacing w:val="-1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kryteriach</w:t>
      </w:r>
      <w:r>
        <w:rPr>
          <w:rFonts w:cs="Calibri" w:ascii="Calibri" w:hAnsi="Calibri" w:asciiTheme="minorHAnsi" w:cstheme="minorHAnsi" w:hAnsiTheme="minorHAnsi"/>
          <w:spacing w:val="-1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wyboru</w:t>
      </w:r>
      <w:r>
        <w:rPr>
          <w:rFonts w:cs="Calibri" w:ascii="Calibri" w:hAnsi="Calibri" w:asciiTheme="minorHAnsi" w:cstheme="minorHAnsi" w:hAnsiTheme="minorHAnsi"/>
          <w:spacing w:val="-1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operacji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oraz ogłoszeniu o naborze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wniosków.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533" w:leader="none"/>
        </w:tabs>
        <w:spacing w:lineRule="auto" w:line="276" w:before="38" w:after="0"/>
        <w:ind w:left="532" w:right="112" w:hanging="424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Podczas realizacji projektu pilotażowego, Beneficjent projektu pilotażowego zobowiązany jest śledzić zmiany wytycznych i stosować wytyczne aktualne na moment dokonywania czynności, której dotyczą dane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wytyczne.</w:t>
      </w:r>
    </w:p>
    <w:p>
      <w:pPr>
        <w:pStyle w:val="ListParagraph"/>
        <w:tabs>
          <w:tab w:val="clear" w:pos="708"/>
          <w:tab w:val="left" w:pos="533" w:leader="none"/>
        </w:tabs>
        <w:spacing w:lineRule="auto" w:line="276" w:before="38" w:after="0"/>
        <w:ind w:left="532" w:right="112" w:hanging="0"/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agwek1"/>
        <w:spacing w:lineRule="auto" w:line="276"/>
        <w:jc w:val="center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§ 2</w:t>
      </w:r>
    </w:p>
    <w:p>
      <w:pPr>
        <w:pStyle w:val="Normal"/>
        <w:spacing w:lineRule="auto" w:line="276" w:before="38" w:after="0"/>
        <w:ind w:left="718" w:right="296" w:hanging="0"/>
        <w:jc w:val="center"/>
        <w:rPr/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Wypłacenie środków na realizację projektu pilotażowego</w:t>
      </w:r>
    </w:p>
    <w:p>
      <w:pPr>
        <w:pStyle w:val="Tretekstu"/>
        <w:spacing w:lineRule="auto" w:line="276" w:before="7" w:after="0"/>
        <w:ind w:left="0" w:hanging="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532" w:leader="none"/>
          <w:tab w:val="left" w:pos="533" w:leader="none"/>
        </w:tabs>
        <w:spacing w:lineRule="auto" w:line="276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Dofinansowanie, o którym mowa w § 2 ust. 2 Umowy o dofinansowanie na realizację projektu pilotażowego jest przekazywane przelewem przez LGD, na rachunek bankowy Beneficjenta projektu pilotażowego w wysokości określonej we wniosku o płatność oraz harmonogramie płatności stanowiącym załącznik do Umowy o dofinansowanie na realizację projektu pilotażowego.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532" w:leader="none"/>
          <w:tab w:val="left" w:pos="533" w:leader="none"/>
        </w:tabs>
        <w:spacing w:lineRule="auto" w:line="276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Dofinansowanie będzie przekazane Beneficjentowi projektu pilotażowego w formie zaliczki lub </w:t>
        <w:br/>
        <w:t>w formie refundacji.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532" w:leader="none"/>
          <w:tab w:val="left" w:pos="533" w:leader="none"/>
        </w:tabs>
        <w:spacing w:lineRule="auto" w:line="276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Zaliczka jest udzielana Beneficjentowi projektu pilotażowego w wysokości nie większej i na okres nie dłuższy niż jest to niezbędne dla prawidłowej realizacji projektu pilotażowego.  Maksymalna kwota udzielonych zaliczek nie może przekroczyć 95 % wartości dofinansowania. Pozostała kwota dofinansowania wypłacana jest w formie refundacji po zatwierdzeniu przez LGD ostatniego wniosku o płatność.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532" w:leader="none"/>
          <w:tab w:val="left" w:pos="533" w:leader="none"/>
        </w:tabs>
        <w:spacing w:lineRule="auto" w:line="276" w:before="38" w:after="0"/>
        <w:ind w:left="532" w:right="118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Dofinansowanie w formie zaliczki może być przekazane w transzach przed zakończeniem realizacji projektu objętego dofinansowaniem.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Wypłata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transz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następować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będzie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zgodnie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  <w:br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harmonogramem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płatności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stanowiącym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załącznik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Umowy o dofinansowanie </w:t>
      </w:r>
      <w:bookmarkStart w:id="1" w:name="_Hlk111635446"/>
      <w:r>
        <w:rPr>
          <w:rFonts w:cs="Calibri" w:ascii="Calibri" w:hAnsi="Calibri" w:asciiTheme="minorHAnsi" w:cstheme="minorHAnsi" w:hAnsiTheme="minorHAnsi"/>
          <w:sz w:val="24"/>
          <w:szCs w:val="24"/>
        </w:rPr>
        <w:t>na realizację projektu pilotażowego</w:t>
      </w:r>
      <w:bookmarkEnd w:id="1"/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532" w:leader="none"/>
          <w:tab w:val="left" w:pos="533" w:leader="none"/>
        </w:tabs>
        <w:spacing w:lineRule="auto" w:line="276" w:before="38" w:after="0"/>
        <w:ind w:left="532" w:right="118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Pierwsza oraz kolejne transze są przekazywane w wysokości określonej w zatwierdzonym harmonogramie płatności w terminie 14 dni roboczych, po przeprowadzeniu i pozytywnym zakończeniu weryfikacji wniosku o płatność pod względem spełniania warunków określonych </w:t>
        <w:br/>
        <w:t>w Umowie o dofinansowanie projektu pilotażowego.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532" w:leader="none"/>
          <w:tab w:val="left" w:pos="533" w:leader="none"/>
        </w:tabs>
        <w:spacing w:lineRule="auto" w:line="276" w:before="38" w:after="0"/>
        <w:ind w:left="532" w:right="118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Pierwsza transza dofinansowania jest przekazywana po wniesieniu przez Beneficjenta projektu pilotażowego prawidłowo ustanowionego zabezpieczenia, o którym mowa w § 9 Umowy </w:t>
        <w:br/>
        <w:t>o dofinansowanie na realizację projektu pilotażowego i złożenia wniosku o płatność.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532" w:leader="none"/>
          <w:tab w:val="left" w:pos="533" w:leader="none"/>
        </w:tabs>
        <w:spacing w:lineRule="auto" w:line="276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Kwota wnioskowanej transzy musi być uzasadniona faktycznie planowanymi działaniami projektu objętego </w:t>
      </w:r>
      <w:r>
        <w:rPr>
          <w:rFonts w:cs="Calibri" w:ascii="Calibri" w:hAnsi="Calibri" w:asciiTheme="minorHAnsi" w:cstheme="minorHAnsi" w:hAnsiTheme="minorHAnsi"/>
          <w:spacing w:val="-3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dofinansowaniem.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532" w:leader="none"/>
          <w:tab w:val="left" w:pos="533" w:leader="none"/>
        </w:tabs>
        <w:spacing w:lineRule="auto" w:line="276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LGD przekazuje Beneficjentowi projektu pilotażowego część dofinansowania w formie refundacji. Minimalna planowana kwota dofinansowania w formie refundacji nie może być niższa niż 5 % całości dofinansowania.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532" w:leader="none"/>
          <w:tab w:val="left" w:pos="533" w:leader="none"/>
        </w:tabs>
        <w:spacing w:lineRule="auto" w:line="276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 przypadku niemożliwości dokonania wypłaty transzy dofinansowania spowodowanej okresowym brakiem środków, o których mowa w § 2 ust. 2 Umowy o dofinansowanie na realizację projektu pilotażowego, Beneficjent projektu pilotażowego ma prawo renegocjować harmonogram realizacji projektu pilotażowego wskazany we wniosku o dofinansowanie i harmonogram płatności.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532" w:leader="none"/>
          <w:tab w:val="left" w:pos="533" w:leader="none"/>
        </w:tabs>
        <w:spacing w:lineRule="auto" w:line="276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Umowa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dofinansowanie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na realizację projektu pilotażowego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określa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warunki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wstrzymania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płatności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lub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uznania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przez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LGD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całości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lub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odpowiedniej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części rozliczonej kwoty uproszczonej w ramach projektu pilotażowego za niekwalifikowalną.</w:t>
      </w:r>
    </w:p>
    <w:p>
      <w:pPr>
        <w:pStyle w:val="Nagwek1"/>
        <w:spacing w:lineRule="auto" w:line="276" w:before="0" w:after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agwek1"/>
        <w:spacing w:lineRule="auto" w:line="276" w:before="0" w:after="0"/>
        <w:jc w:val="center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§ 3</w:t>
      </w:r>
    </w:p>
    <w:p>
      <w:pPr>
        <w:pStyle w:val="Normal"/>
        <w:spacing w:lineRule="auto" w:line="276" w:before="36" w:after="0"/>
        <w:ind w:left="717" w:right="297" w:hanging="0"/>
        <w:jc w:val="center"/>
        <w:rPr/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Zabezpieczenie projektu pilotażowego</w:t>
      </w:r>
    </w:p>
    <w:p>
      <w:pPr>
        <w:pStyle w:val="Tretekstu"/>
        <w:spacing w:lineRule="auto" w:line="276" w:before="7" w:after="0"/>
        <w:ind w:left="0" w:hanging="0"/>
        <w:jc w:val="center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533" w:leader="none"/>
        </w:tabs>
        <w:spacing w:lineRule="auto" w:line="276"/>
        <w:ind w:left="532" w:right="116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Beneficjent projektu pilotażowego wnosi do LGD poprawnie ustanowione zabezpieczenie prawidłowej realizacji Umowy nie później niż w terminie do 15 dni roboczych od dnia zawarcia Umowy, jednak nie później niż w dniu złożenia pierwszego wniosku o płatność.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533" w:leader="none"/>
        </w:tabs>
        <w:spacing w:lineRule="auto" w:line="276"/>
        <w:ind w:left="532" w:right="116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Beneficjent projektu pilotażowego składa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zabezpieczenie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należytego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wykonania</w:t>
      </w:r>
      <w:r>
        <w:rPr>
          <w:rFonts w:cs="Calibri" w:ascii="Calibri" w:hAnsi="Calibri" w:asciiTheme="minorHAnsi" w:cstheme="minorHAnsi" w:hAnsiTheme="minorHAnsi"/>
          <w:spacing w:val="-1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umowy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  <w:br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formie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weksla</w:t>
      </w:r>
      <w:r>
        <w:rPr>
          <w:rFonts w:cs="Calibri" w:ascii="Calibri" w:hAnsi="Calibri" w:asciiTheme="minorHAnsi" w:cstheme="minorHAnsi" w:hAnsiTheme="minorHAnsi"/>
          <w:spacing w:val="-1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in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blanco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wraz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</w:t>
      </w:r>
      <w:r>
        <w:rPr>
          <w:rFonts w:cs="Calibri" w:ascii="Calibri" w:hAnsi="Calibri" w:asciiTheme="minorHAnsi" w:cstheme="minorHAnsi" w:hAnsiTheme="minorHAnsi"/>
          <w:spacing w:val="-1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deklaracją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wekslową na wypadek realizacji projektu pilotażowego niezgodnie z zapisami zawartymi w umowie o dofinansowanie na realizację projektu pilotażowego i nieosiągnięcia zakładanych efektów projektu pilotażowego, co równoznaczne jest z nieosiągnięciem założonych wskaźników.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533" w:leader="none"/>
        </w:tabs>
        <w:spacing w:lineRule="auto" w:line="276"/>
        <w:ind w:left="532" w:right="116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 przypadku prawidłowego wypełnienia przez Beneficjenta projektu pilotażowego  wszelkich zobowiązań określonych w Umowie o dofinansowanie na realizację projektu pilotażowego, LGD zwróci Beneficjentowi projektu pilotażowego ustanowione zabezpieczenie lub dokona jego komisyjnego zniszczenia, z zastrzeżeniem, że w przypadku wszczęcia postępowania windykacyjnego, zwrot zabezpieczenia może nastąpić po zakończeniu postępowania.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533" w:leader="none"/>
        </w:tabs>
        <w:spacing w:lineRule="auto" w:line="276" w:before="38" w:after="0"/>
        <w:ind w:left="532" w:right="111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Beneficjent projektu pilotażowego zobowiązany będzie do zwrotu środków na konto LGD </w:t>
        <w:br/>
        <w:t xml:space="preserve">w wyznaczonym terminie w sytuacjach określonych w Umowie o dofinansowanie na realizację projektu pilotażowego. W przypadku niewywiązania się Beneficjenta projektu pilotażowego </w:t>
        <w:br/>
        <w:t>z tego obowiązku, LGD dołoży wszelkich starań natury prawnej, aby odzyskać powierzone środki od Beneficjenta projektu pilotażowego, poczynając jednak od szukania dróg na porozumienie, na przykład poprzez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płatności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ratalne,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płatności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odroczone,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a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dopiero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na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samym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końcu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sięgając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narzędzia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windykacji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komorniczej.</w:t>
      </w:r>
    </w:p>
    <w:p>
      <w:pPr>
        <w:pStyle w:val="Tretekstu"/>
        <w:spacing w:lineRule="auto" w:line="276"/>
        <w:ind w:left="0" w:hanging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agwek1"/>
        <w:spacing w:lineRule="auto" w:line="276" w:before="0" w:after="0"/>
        <w:jc w:val="center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§ 4</w:t>
      </w:r>
    </w:p>
    <w:p>
      <w:pPr>
        <w:pStyle w:val="Normal"/>
        <w:spacing w:lineRule="auto" w:line="276" w:before="38" w:after="0"/>
        <w:ind w:left="718" w:right="296" w:hanging="0"/>
        <w:jc w:val="center"/>
        <w:rPr/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Rozliczenie projektu pilotażowego</w:t>
      </w:r>
    </w:p>
    <w:p>
      <w:pPr>
        <w:pStyle w:val="Tretekstu"/>
        <w:spacing w:lineRule="auto" w:line="276" w:before="7" w:after="0"/>
        <w:ind w:left="0" w:hanging="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32" w:leader="none"/>
          <w:tab w:val="left" w:pos="533" w:leader="none"/>
        </w:tabs>
        <w:spacing w:lineRule="auto" w:line="276" w:before="1" w:after="0"/>
        <w:ind w:left="532" w:right="115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Beneficjent projektu pilotażowego sporządza i przekazuje do LGD propozycję harmonogramu płatności, który po akceptacji LGD stanowi załącznik do Umowy o dofinansowanie na realizację projektu pilotażowego. Beneficjent jest zobowiązany do składania zaktualizowanego harmonogramu płatności, w przypadku jego zmiany w stosunku do obowiązującego wraz </w:t>
        <w:br/>
        <w:t>z wnioskiem o płatność. W przypadku, gdy po weryfikacji wniosku o płatność złożony harmonogram płatności będzie wymagał korekty, Beneficjent projektu pilotażowego jest zobowiązany do jej dokonania w terminie wskazanym przez LGD.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32" w:leader="none"/>
          <w:tab w:val="left" w:pos="533" w:leader="none"/>
        </w:tabs>
        <w:spacing w:lineRule="auto" w:line="276" w:before="1" w:after="0"/>
        <w:ind w:left="532" w:right="115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Beneficjent projektu pilotażowego składa wnioski o płatność, w ramach których wnioskuje </w:t>
        <w:br/>
        <w:t>o wypłatę środków dofinansowania w formie zaliczki lub rozlicza kwotę uproszczoną i/lub sprawozdaje informację o postępie w realizacji projektu pilotażowego oraz przekazuje dokumenty niezbędne do rozliczenia projektu pilotażowego określone w § 5 ust. 4 pkt 1 Umowy o dofinansowanie na realizację projektu pilotażowego.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32" w:leader="none"/>
          <w:tab w:val="left" w:pos="533" w:leader="none"/>
        </w:tabs>
        <w:spacing w:lineRule="auto" w:line="276" w:before="1" w:after="0"/>
        <w:ind w:left="532" w:right="115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Beneficjent projektu pilotażowego składa pierwszy wniosek o płatność, będący podstawą do wypłaty pierwszej transzy dofinansowania niezwłocznie po podpisaniu Umowy </w:t>
        <w:br/>
        <w:t>o dofinansowanie na realizację projektu pilotażowego. Beneficjent projektu pilotażowego składa drugi i kolejne wnioski o płatność za okresy sprawozdawcze zgodnie z harmonogramem płatności.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32" w:leader="none"/>
          <w:tab w:val="left" w:pos="533" w:leader="none"/>
        </w:tabs>
        <w:spacing w:lineRule="auto" w:line="276" w:before="1" w:after="0"/>
        <w:ind w:left="532" w:right="115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Beneficjent projektu pilotażowego jest zobowiązany do złożenia wniosku o płatność do LGD </w:t>
        <w:br/>
        <w:t>w terminie 10 dni roboczych od dnia zakończenia okresu sprawozdawczego (nie dotyczy wniosku końcowego) wskazanego w Harmonogramie płatności stanowiącym załącznik do Umowy o dofinansowanie na realizację projektu pilotażowego. Beneficjent projektu pilotażowego składa końcowy wniosek o płatność do LGD, w terminie do 20 dni kalendarzowych od dnia zakończenia realizacji projektu pilotażowego.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32" w:leader="none"/>
          <w:tab w:val="left" w:pos="533" w:leader="none"/>
        </w:tabs>
        <w:spacing w:lineRule="auto" w:line="276" w:before="1" w:after="0"/>
        <w:ind w:left="532" w:right="115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Wniosek o płatność wypełniony na formularzu stanowiącym załącznik do Regulaminu udzielania wsparcia wraz z wymaganymi załącznikami, w ramach którego Beneficjent projektu pilotażowego wnioskuje o przekazanie dofinansowania oraz przekazuje informację o postępie realizacji projektu pilotażowego są składane przez Beneficjenta projektu pilotażowego w wersji papierowej i/lub elektronicznej.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32" w:leader="none"/>
          <w:tab w:val="left" w:pos="533" w:leader="none"/>
        </w:tabs>
        <w:spacing w:lineRule="auto" w:line="276" w:before="1" w:after="0"/>
        <w:ind w:left="532" w:right="115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LGD dokonuje weryfikacji pierwszej wersji wniosku o płatność w terminie 20 dni roboczych od dnia jego otrzymania w wersji papierowej, a kolejnych jego wersji w terminie 10 dni roboczych od dnia ich otrzymania.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32" w:leader="none"/>
          <w:tab w:val="left" w:pos="533" w:leader="none"/>
        </w:tabs>
        <w:spacing w:lineRule="auto" w:line="276" w:before="1" w:after="0"/>
        <w:ind w:left="532" w:right="115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LGD zastrzega, że w przypadku gdy: 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532" w:leader="none"/>
          <w:tab w:val="left" w:pos="533" w:leader="none"/>
        </w:tabs>
        <w:spacing w:lineRule="auto" w:line="276" w:before="1" w:after="0"/>
        <w:ind w:left="1252" w:right="115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 ramach projektu pilotażowego prowadzona jest kontrola na miejscu i złożony został wniosek końcowy;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532" w:leader="none"/>
          <w:tab w:val="left" w:pos="533" w:leader="none"/>
        </w:tabs>
        <w:spacing w:lineRule="auto" w:line="276" w:before="1" w:after="0"/>
        <w:ind w:left="1252" w:right="115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 związku z weryfikacją wniosku o płatność podjęta zostanie kontrola doraźna na miejscu;</w:t>
      </w:r>
    </w:p>
    <w:p>
      <w:pPr>
        <w:pStyle w:val="ListParagraph"/>
        <w:tabs>
          <w:tab w:val="clear" w:pos="708"/>
          <w:tab w:val="left" w:pos="532" w:leader="none"/>
          <w:tab w:val="left" w:pos="533" w:leader="none"/>
        </w:tabs>
        <w:spacing w:lineRule="auto" w:line="276" w:before="1" w:after="0"/>
        <w:ind w:left="532" w:right="115" w:hanging="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bieg terminów weryfikacji, o których mowa w ust. 6 ulega zawieszeniu do dnia przekazania przez Beneficjenta projektu pilotażowego informacji o wykonaniu lub zaniechaniu wykonania zaleceń pokontrolnych, chyba że wyniki kontroli nie wskazują na wystąpienie wydatków niekwalifikowalnych w projekcie objętym dofinansowaniem lub nie mają wpływu na rozliczenie końcowe projektu pilotażowego.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32" w:leader="none"/>
          <w:tab w:val="left" w:pos="533" w:leader="none"/>
        </w:tabs>
        <w:spacing w:lineRule="auto" w:line="276" w:before="1" w:after="0"/>
        <w:ind w:left="532" w:right="115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Warunkiem zatwierdzenia wniosku o płatność i przekazania Beneficjentowi projektu pilotażowego kolejnej transzy dofinansowania jest: </w:t>
      </w:r>
    </w:p>
    <w:p>
      <w:pPr>
        <w:pStyle w:val="ListParagraph"/>
        <w:tabs>
          <w:tab w:val="clear" w:pos="708"/>
          <w:tab w:val="left" w:pos="532" w:leader="none"/>
          <w:tab w:val="left" w:pos="533" w:leader="none"/>
        </w:tabs>
        <w:spacing w:lineRule="auto" w:line="276" w:before="1" w:after="0"/>
        <w:ind w:left="532" w:right="115" w:hanging="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1) złożenie przez Beneficjenta projektu pilotażowego do LGD prawidłowego, kompletnego </w:t>
        <w:br/>
        <w:t>i spełniającego wymogi formalne i merytoryczne wniosku o płatność;</w:t>
      </w:r>
    </w:p>
    <w:p>
      <w:pPr>
        <w:pStyle w:val="ListParagraph"/>
        <w:tabs>
          <w:tab w:val="clear" w:pos="708"/>
          <w:tab w:val="left" w:pos="532" w:leader="none"/>
          <w:tab w:val="left" w:pos="533" w:leader="none"/>
        </w:tabs>
        <w:spacing w:lineRule="auto" w:line="276" w:before="1" w:after="0"/>
        <w:ind w:left="532" w:right="115" w:hanging="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2) złożenie poprawnych informacji o wszystkich uczestnikach projektu pilotażowego, zgodnie </w:t>
        <w:br/>
        <w:t xml:space="preserve">z zakresem określonym w załączniku do Umowy i na warunkach określonych w Wytycznych </w:t>
        <w:br/>
        <w:t xml:space="preserve">w zakresie monitorowania; </w:t>
      </w:r>
    </w:p>
    <w:p>
      <w:pPr>
        <w:pStyle w:val="ListParagraph"/>
        <w:tabs>
          <w:tab w:val="clear" w:pos="708"/>
          <w:tab w:val="left" w:pos="532" w:leader="none"/>
          <w:tab w:val="left" w:pos="533" w:leader="none"/>
        </w:tabs>
        <w:spacing w:lineRule="auto" w:line="276" w:before="1" w:after="0"/>
        <w:ind w:left="532" w:right="115" w:hanging="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3) złożenie poprawnych dokumentów, o których mowa w § 5 ust. 4 Umowy o dofinansowanie na realizację projektu pilotażowego, potwierdzających wykonanie wskaźników i odnoszących się do wniosku o płatność;</w:t>
      </w:r>
    </w:p>
    <w:p>
      <w:pPr>
        <w:pStyle w:val="ListParagraph"/>
        <w:tabs>
          <w:tab w:val="clear" w:pos="708"/>
          <w:tab w:val="left" w:pos="532" w:leader="none"/>
          <w:tab w:val="left" w:pos="533" w:leader="none"/>
        </w:tabs>
        <w:spacing w:lineRule="auto" w:line="276" w:before="1" w:after="0"/>
        <w:ind w:left="532" w:right="115" w:hanging="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4) dostępność środków na rachunku bankowym LGD.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33" w:leader="none"/>
        </w:tabs>
        <w:spacing w:lineRule="auto" w:line="276" w:before="91" w:after="0"/>
        <w:ind w:left="532" w:right="118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LGD nie będzie sprawdzał dokumentów księgowych stanowiących dowód poniesienia wydatków przez Beneficjenta projektu pilotażowego w ramach realizacji projektu pilotażowego (rozliczenie kwotą uproszczoną).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33" w:leader="none"/>
        </w:tabs>
        <w:spacing w:lineRule="auto" w:line="276"/>
        <w:ind w:left="532" w:right="117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Beneficjent projektu pilotażowego zobowiąże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się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przestrzegania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terminów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składania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dokumentów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pod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rygorem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utraty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prawa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realizacji projektu pilotażowego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oraz rozwiązania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umowy.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32" w:leader="none"/>
          <w:tab w:val="left" w:pos="533" w:leader="none"/>
        </w:tabs>
        <w:spacing w:lineRule="auto" w:line="276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 przypadku niezrealizowania wskaźników Beneficjent projektu pilotażowego zobowiązuje się do zwrotu środków na konto wskazane</w:t>
      </w:r>
      <w:r>
        <w:rPr>
          <w:rFonts w:cs="Calibri" w:ascii="Calibri" w:hAnsi="Calibri" w:asciiTheme="minorHAnsi" w:cstheme="minorHAnsi" w:hAnsiTheme="minorHAnsi"/>
          <w:spacing w:val="2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przez LGD zgodnie z regułą proporcjonalności wskazaną w umowie o dofinansowanie na realizację projektu pilotażowego.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33" w:leader="none"/>
        </w:tabs>
        <w:spacing w:lineRule="auto" w:line="276" w:before="38" w:after="0"/>
        <w:ind w:left="532" w:right="118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 przypadku niezrealizowania wskaźników Beneficjent projektu pilotażowego ma prawo zwrócić się do LGD z wnioskiem o proporcjonalne rozliczenie projektu pilotażowego do poziomu osiągniętych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wskaźników.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33" w:leader="none"/>
        </w:tabs>
        <w:spacing w:lineRule="auto" w:line="276" w:before="1" w:after="0"/>
        <w:ind w:left="532" w:right="119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We wniosku Beneficjent projektu pilotażowego powinien przedstawić przyczyny nieosiągnięcia w pełni założonych wskaźników oraz wykazać swoje starania zmierzające do osiągnięcia tych założeń lub wykazać wystąpienie tzw. siły</w:t>
      </w:r>
      <w:r>
        <w:rPr>
          <w:rFonts w:cs="Calibri" w:ascii="Calibri" w:hAnsi="Calibri" w:asciiTheme="minorHAnsi" w:cstheme="minorHAnsi" w:hAnsiTheme="minorHAnsi"/>
          <w:spacing w:val="-3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wyższej.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33" w:leader="none"/>
        </w:tabs>
        <w:spacing w:lineRule="auto" w:line="276"/>
        <w:ind w:left="532" w:right="110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Decyzję o zastosowaniu proporcjonalnego rozliczenia projektu pilotażowego w stosunku do osiągniętych wskaźników podejmuje LGD. LGD w takiej sytuacji może podjąć decyzję o uznaniu części wydatków poniesionych przez Beneficjenta projektu pilotażowego za niekwalifikowalne i żądać ich zwrotu. Wszystkie szczegóły dotyczące zwrotu nienależnie </w:t>
      </w:r>
      <w:r>
        <w:rPr>
          <w:rFonts w:cs="Calibri" w:ascii="Calibri" w:hAnsi="Calibri" w:asciiTheme="minorHAnsi" w:cstheme="minorHAnsi" w:hAnsiTheme="minorHAnsi"/>
          <w:spacing w:val="2"/>
          <w:sz w:val="24"/>
          <w:szCs w:val="24"/>
        </w:rPr>
        <w:t xml:space="preserve">lub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nadmiernie wypłaconych środków zostaną określone w umowie o dofinansowanie na realizację projektu pilotażowego.</w:t>
      </w:r>
    </w:p>
    <w:p>
      <w:pPr>
        <w:pStyle w:val="Tretekstu"/>
        <w:spacing w:lineRule="auto" w:line="276" w:before="4" w:after="0"/>
        <w:ind w:left="0" w:hanging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Tretekstu"/>
        <w:spacing w:lineRule="auto" w:line="276" w:before="4" w:after="0"/>
        <w:ind w:left="0" w:hanging="0"/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agwek1"/>
        <w:spacing w:lineRule="auto" w:line="276" w:before="0" w:after="0"/>
        <w:jc w:val="center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§ 5</w:t>
      </w:r>
    </w:p>
    <w:p>
      <w:pPr>
        <w:pStyle w:val="Normal"/>
        <w:spacing w:lineRule="auto" w:line="276" w:before="38" w:after="0"/>
        <w:ind w:left="713" w:right="297" w:hanging="0"/>
        <w:jc w:val="center"/>
        <w:rPr/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Monitoring i sprawozdawczość</w:t>
      </w:r>
    </w:p>
    <w:p>
      <w:pPr>
        <w:pStyle w:val="Tretekstu"/>
        <w:spacing w:lineRule="auto" w:line="276" w:before="7" w:after="0"/>
        <w:ind w:left="0" w:hanging="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33" w:leader="none"/>
        </w:tabs>
        <w:spacing w:lineRule="auto" w:line="276"/>
        <w:ind w:left="532" w:right="117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Beneficjent projektu pilotażowego  jest zobowiązany do pomiaru wartości wskaźników osiągniętych dzięki realizacji projektu pilotażowego,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zgodnie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wnioskiem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dofinansowanie,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okresie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realizacji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projektu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pilotażowego.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33" w:leader="none"/>
        </w:tabs>
        <w:spacing w:lineRule="auto" w:line="276" w:before="1" w:after="0"/>
        <w:ind w:left="532" w:right="114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Beneficjent projektu pilotażowego jest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zobowiązany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złożenia</w:t>
      </w:r>
      <w:r>
        <w:rPr>
          <w:rFonts w:cs="Calibri" w:ascii="Calibri" w:hAnsi="Calibri" w:asciiTheme="minorHAnsi" w:cstheme="minorHAnsi" w:hAnsiTheme="minorHAnsi"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LGD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wniosku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płatność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zawierającego</w:t>
      </w:r>
      <w:r>
        <w:rPr>
          <w:rFonts w:cs="Calibri" w:ascii="Calibri" w:hAnsi="Calibri" w:asciiTheme="minorHAnsi" w:cstheme="minorHAnsi" w:hAnsiTheme="minorHAnsi"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informacje o postępie rzeczowym projektu pilotażowego.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33" w:leader="none"/>
        </w:tabs>
        <w:spacing w:lineRule="auto" w:line="276"/>
        <w:ind w:left="532" w:right="113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Beneficjent projektu pilotażowego jest zobowiązany do systematycznego monitorowania przebiegu realizacji projektu pilotażowego oraz niezwłocznego, w terminie nie dłuższym niż 14 dni od dnia uzyskania informacji o wystąpieniu nieprawidłowości lub podjęcia decyzji o zaprzestaniu realizacji projektu pilotażowego, informowania LGD o zaistniałych nieprawidłowościach lub o zamiarze zaprzestania realizacji projektu pilotażowego, w tym o zagrożeniu niewykonania wskaźników.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33" w:leader="none"/>
        </w:tabs>
        <w:spacing w:lineRule="auto" w:line="276" w:before="38" w:after="0"/>
        <w:ind w:left="532" w:right="116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Beneficjent projektu pilotażowego jest zobowiązany do systematycznego monitorowania przebiegu realizacji projektu pilotażowego i składania, nie rzadziej niż raz na kwartał, wniosku sprawozdawczego.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33" w:leader="none"/>
        </w:tabs>
        <w:spacing w:lineRule="auto" w:line="276" w:before="38" w:after="0"/>
        <w:ind w:left="532" w:right="116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Beneficjent projektu pilotażowego jest zobowiązany do przekazywania LGD wszelkich dokumentów i informacji związanych z realizacją projektu pilotażowego, na wniosek i w terminie wskazanym przez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LGD.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33" w:leader="none"/>
        </w:tabs>
        <w:spacing w:lineRule="auto" w:line="276" w:before="1" w:after="0"/>
        <w:ind w:left="532" w:right="108" w:hanging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 zakresie prawidłowości realizacji projektu pilotażowego, Beneficjent projektu pilotażowego jest zobowiązany poddać się kontroli, wizytom monitoringowym dokonywanym przez LGD, Instytucję Zarządzającą RPO WK-P oraz inne podmioty uprawnione do ich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przeprowadzenia.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32" w:leader="none"/>
          <w:tab w:val="left" w:pos="533" w:leader="none"/>
        </w:tabs>
        <w:spacing w:lineRule="auto" w:line="276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Zasady monitoringu i kontroli określa Procedura monitorowania i kontroli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projektów pilotażowych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</w:p>
    <w:p>
      <w:pPr>
        <w:pStyle w:val="Nagwek1"/>
        <w:spacing w:lineRule="auto" w:line="276" w:before="0" w:after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agwek1"/>
        <w:spacing w:lineRule="auto" w:line="276" w:before="0" w:after="0"/>
        <w:jc w:val="center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§ 6</w:t>
      </w:r>
    </w:p>
    <w:p>
      <w:pPr>
        <w:pStyle w:val="Normal"/>
        <w:spacing w:lineRule="auto" w:line="276" w:before="38" w:after="0"/>
        <w:ind w:left="713" w:right="297" w:hanging="0"/>
        <w:jc w:val="center"/>
        <w:rPr/>
      </w:pPr>
      <w:bookmarkStart w:id="2" w:name="_Hlk108779173"/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Odzyskiwanie środków w przypadku ich wykorzystania niezgodnie z celami projektu pilotażowego</w:t>
      </w:r>
      <w:bookmarkEnd w:id="2"/>
    </w:p>
    <w:p>
      <w:pPr>
        <w:pStyle w:val="Normal"/>
        <w:spacing w:lineRule="auto" w:line="276" w:before="38" w:after="0"/>
        <w:ind w:left="713" w:right="297" w:hanging="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widowControl/>
        <w:numPr>
          <w:ilvl w:val="0"/>
          <w:numId w:val="6"/>
        </w:numPr>
        <w:spacing w:lineRule="auto" w:line="276" w:before="0" w:after="16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Jeżeli na podstawie wniosku o płatność lub czynności kontrolnych przeprowadzonych przez uprawnione organy zostanie stwierdzone, że Beneficjent projektu pilotażowego:</w:t>
      </w:r>
    </w:p>
    <w:p>
      <w:pPr>
        <w:pStyle w:val="ListParagraph"/>
        <w:widowControl/>
        <w:spacing w:lineRule="auto" w:line="276" w:before="0" w:after="160"/>
        <w:ind w:left="720" w:hanging="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a) wykorzystał dofinansowanie niezgodnie z przeznaczeniem;</w:t>
      </w:r>
    </w:p>
    <w:p>
      <w:pPr>
        <w:pStyle w:val="ListParagraph"/>
        <w:widowControl/>
        <w:spacing w:lineRule="auto" w:line="276" w:before="0" w:after="160"/>
        <w:ind w:left="720" w:hanging="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wykorzystał dofinansowanie z naruszeniem procedur, o których mowa w art. 184 ustawy </w:t>
        <w:br/>
        <w:t>o finansach publicznych;</w:t>
      </w:r>
    </w:p>
    <w:p>
      <w:pPr>
        <w:pStyle w:val="ListParagraph"/>
        <w:widowControl/>
        <w:spacing w:lineRule="auto" w:line="276" w:before="0" w:after="160"/>
        <w:ind w:left="720" w:hanging="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c) pobrał całość lub część dofinansowania w sposób nienależny, lub w nadmiernej wysokości;</w:t>
      </w:r>
    </w:p>
    <w:p>
      <w:pPr>
        <w:pStyle w:val="ListParagraph"/>
        <w:widowControl/>
        <w:spacing w:lineRule="auto" w:line="276" w:before="0" w:after="160"/>
        <w:ind w:left="720" w:hanging="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wówczas Beneficjent projektu pilotażowego zobowiązuje się do zwrotu tych środków wraz </w:t>
        <w:br/>
        <w:t>z odsetkami, w terminie 14 dni od dnia doręczenia wezwania o zwrocie środków i na rachunek bankowy wskazany przez LGD.</w:t>
      </w:r>
    </w:p>
    <w:p>
      <w:pPr>
        <w:pStyle w:val="ListParagraph"/>
        <w:widowControl/>
        <w:numPr>
          <w:ilvl w:val="0"/>
          <w:numId w:val="6"/>
        </w:numPr>
        <w:spacing w:lineRule="auto" w:line="276" w:before="0" w:after="16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 sytuacji, o której mowa w ust. 1, LGD wzywa Beneficjenta projektu pilotażowego do dokonania zwrotu lub pomniejsza o odpowiednią kwotę kolejnej transzy dofinansowania dla Beneficjenta projektu pilotażowego.</w:t>
      </w:r>
    </w:p>
    <w:p>
      <w:pPr>
        <w:pStyle w:val="ListParagraph"/>
        <w:widowControl/>
        <w:numPr>
          <w:ilvl w:val="0"/>
          <w:numId w:val="6"/>
        </w:numPr>
        <w:spacing w:lineRule="auto" w:line="276" w:before="0" w:after="16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Odsetki, w wysokości jak dla zaległości podatkowych od środków dofinansowania, o których mowa w ust. 1 są naliczane od dnia przekazania dofinansowania na rachunek bankowy wskazany przez Beneficjenta projektu pilotażowego, do dnia zwrotu środków.</w:t>
      </w:r>
    </w:p>
    <w:p>
      <w:pPr>
        <w:pStyle w:val="ListParagraph"/>
        <w:widowControl/>
        <w:numPr>
          <w:ilvl w:val="0"/>
          <w:numId w:val="6"/>
        </w:numPr>
        <w:spacing w:lineRule="auto" w:line="276" w:before="0" w:after="16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Beneficjent projektu pilotażowego jest zobowiązany do zapłaty odsetek, którymi może zostać ewentualnie obciążona LGD w następstwie konieczności zwrotu środków przez Beneficjenta projektu pilotażowego, o którym mowa w ust. 1.</w:t>
      </w:r>
    </w:p>
    <w:p>
      <w:pPr>
        <w:pStyle w:val="ListParagraph"/>
        <w:widowControl/>
        <w:numPr>
          <w:ilvl w:val="0"/>
          <w:numId w:val="6"/>
        </w:numPr>
        <w:spacing w:lineRule="auto" w:line="276" w:before="0" w:after="16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W przypadku, gdy kwota do odzyskania jest wyższa niż kwota pozostająca do przekazania w ramach kolejnej transzy dofinansowania lub nie jest możliwe dokonanie pomniejszenia, a Beneficjent projektu pilotażowego nie dokonał zwrotu w terminie 14 dni od dnia doręczenia wezwania, o którym mowa w ust. 2, LGD podejmuje czynności zmierzające do odzyskania należnych środków z wykorzystaniem dostępnych środków prawnych, w szczególności zabezpieczenia, o którym mowa w § 9 Umowy oraz na zasadach określonych w przepisach o postępowaniu windykacyjnym. Koszty czynności zmierzających do odzyskania środków, o których mowa w ust. 1, w całości obciążają Beneficjenta projektu pilotażowego. </w:t>
      </w:r>
    </w:p>
    <w:p>
      <w:pPr>
        <w:pStyle w:val="ListParagraph"/>
        <w:widowControl/>
        <w:numPr>
          <w:ilvl w:val="0"/>
          <w:numId w:val="6"/>
        </w:numPr>
        <w:spacing w:lineRule="auto" w:line="276" w:before="0" w:after="16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Beneficjent projektu pilotażowego zwraca na rachunek bankowy wskazany przez LGD kwoty korekt wydatków kwalifikowalnych projektu pilotażowego oraz inne środki dofinansowania zgodnie z § 12 ust. 8 oraz § 18 ust. 4 Umowy o dofinansowanie na realizację projektu pilotażowego.</w:t>
      </w:r>
    </w:p>
    <w:p>
      <w:pPr>
        <w:pStyle w:val="ListParagraph"/>
        <w:widowControl/>
        <w:numPr>
          <w:ilvl w:val="0"/>
          <w:numId w:val="6"/>
        </w:numPr>
        <w:spacing w:lineRule="auto" w:line="276" w:before="0" w:after="16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 przypadku stwierdzenia nieprawidłowości w projekcie pilotażowym, wartość wydatków kwalifikowalnych projektu pilotażowego, o której mowa w § 2 ust. 2 Umowy, może zostać pomniejszona o kwotę nieprawidłowości zgodnie z zasadami określonymi w Wytycznych w zakresie sposobu korygowania i odzyskiwania nieprawidłowych wydatków oraz zgłaszania nieprawidłowości w ramach programów operacyjnych polityki spójności na lata 2014-2020.</w:t>
      </w:r>
    </w:p>
    <w:p>
      <w:pPr>
        <w:pStyle w:val="Normal"/>
        <w:tabs>
          <w:tab w:val="clear" w:pos="708"/>
          <w:tab w:val="left" w:pos="532" w:leader="none"/>
          <w:tab w:val="left" w:pos="533" w:leader="none"/>
        </w:tabs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020" w:right="1020" w:gutter="0" w:header="397" w:top="1909" w:footer="1020" w:bottom="121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 Narro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rebuchet MS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retekstu"/>
      <w:spacing w:lineRule="atLeast" w:line="0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5715" distL="0" distR="0" simplePos="0" locked="0" layoutInCell="0" allowOverlap="1" relativeHeight="16" wp14:anchorId="2DF2DFDA">
              <wp:simplePos x="0" y="0"/>
              <wp:positionH relativeFrom="page">
                <wp:posOffset>3724275</wp:posOffset>
              </wp:positionH>
              <wp:positionV relativeFrom="bottomMargin">
                <wp:align>top</wp:align>
              </wp:positionV>
              <wp:extent cx="211455" cy="167640"/>
              <wp:effectExtent l="0" t="0" r="0" b="5715"/>
              <wp:wrapNone/>
              <wp:docPr id="2" name="Pole tekstowe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13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retekstu"/>
                            <w:spacing w:lineRule="exact" w:line="234"/>
                            <w:ind w:left="40" w:hanging="0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Pole tekstowe 1_1" path="m0,0l-2147483645,0l-2147483645,-2147483646l0,-2147483646xe" stroked="f" o:allowincell="f" style="position:absolute;margin-left:293.25pt;margin-top:0pt;width:16.6pt;height:13.15pt;mso-wrap-style:square;v-text-anchor:top;mso-position-horizontal-relative:page;mso-position-vertical:top" wp14:anchorId="2DF2DFD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retekstu"/>
                      <w:spacing w:lineRule="exact" w:line="234"/>
                      <w:ind w:left="40" w:hanging="0"/>
                      <w:rPr>
                        <w:rFonts w:ascii="Trebuchet MS" w:hAnsi="Trebuchet MS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jc w:val="center"/>
      <w:rPr/>
    </w:pPr>
    <w:r>
      <w:rPr/>
      <w:drawing>
        <wp:anchor behindDoc="1" distT="0" distB="0" distL="114300" distR="114300" simplePos="0" locked="0" layoutInCell="0" allowOverlap="1" relativeHeight="25">
          <wp:simplePos x="0" y="0"/>
          <wp:positionH relativeFrom="column">
            <wp:posOffset>462915</wp:posOffset>
          </wp:positionH>
          <wp:positionV relativeFrom="paragraph">
            <wp:posOffset>4445</wp:posOffset>
          </wp:positionV>
          <wp:extent cx="5541645" cy="694690"/>
          <wp:effectExtent l="0" t="0" r="0" b="0"/>
          <wp:wrapTopAndBottom/>
          <wp:doc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164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32" w:hanging="360"/>
      </w:pPr>
      <w:rPr>
        <w:sz w:val="24"/>
        <w:szCs w:val="24"/>
        <w:w w:val="100"/>
        <w:rFonts w:ascii="Calibri" w:hAnsi="Calibri" w:eastAsia="Liberation Sans Narrow" w:cs="Calibri"/>
        <w:lang w:val="pl-PL" w:eastAsia="pl-PL" w:bidi="pl-P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14" w:hanging="360"/>
      </w:pPr>
      <w:rPr>
        <w:rFonts w:ascii="Symbol" w:hAnsi="Symbol" w:cs="Symbol" w:hint="default"/>
        <w:lang w:val="pl-PL" w:eastAsia="pl-PL" w:bidi="pl-P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360"/>
      </w:pPr>
      <w:rPr>
        <w:rFonts w:ascii="Symbol" w:hAnsi="Symbol" w:cs="Symbol" w:hint="default"/>
        <w:lang w:val="pl-PL" w:eastAsia="pl-PL" w:bidi="pl-PL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63" w:hanging="360"/>
      </w:pPr>
      <w:rPr>
        <w:rFonts w:ascii="Symbol" w:hAnsi="Symbol" w:cs="Symbol" w:hint="default"/>
        <w:lang w:val="pl-PL" w:eastAsia="pl-PL" w:bidi="pl-PL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8" w:hanging="360"/>
      </w:pPr>
      <w:rPr>
        <w:rFonts w:ascii="Symbol" w:hAnsi="Symbol" w:cs="Symbol" w:hint="default"/>
        <w:lang w:val="pl-PL" w:eastAsia="pl-PL" w:bidi="pl-PL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13" w:hanging="360"/>
      </w:pPr>
      <w:rPr>
        <w:rFonts w:ascii="Symbol" w:hAnsi="Symbol" w:cs="Symbol" w:hint="default"/>
        <w:lang w:val="pl-PL" w:eastAsia="pl-PL" w:bidi="pl-PL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87" w:hanging="360"/>
      </w:pPr>
      <w:rPr>
        <w:rFonts w:ascii="Symbol" w:hAnsi="Symbol" w:cs="Symbol" w:hint="default"/>
        <w:lang w:val="pl-PL" w:eastAsia="pl-PL" w:bidi="pl-PL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62" w:hanging="360"/>
      </w:pPr>
      <w:rPr>
        <w:rFonts w:ascii="Symbol" w:hAnsi="Symbol" w:cs="Symbol" w:hint="default"/>
        <w:lang w:val="pl-PL" w:eastAsia="pl-PL" w:bidi="pl-PL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7" w:hanging="360"/>
      </w:pPr>
      <w:rPr>
        <w:rFonts w:ascii="Symbol" w:hAnsi="Symbol" w:cs="Symbol" w:hint="default"/>
        <w:lang w:val="pl-PL" w:eastAsia="pl-PL" w:bidi="pl-P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32" w:hanging="360"/>
      </w:pPr>
      <w:rPr>
        <w:sz w:val="24"/>
        <w:szCs w:val="24"/>
        <w:w w:val="100"/>
        <w:rFonts w:ascii="Calibri" w:hAnsi="Calibri" w:eastAsia="Liberation Sans Narrow" w:cs="Calibri"/>
        <w:lang w:val="pl-PL" w:eastAsia="pl-PL" w:bidi="pl-P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14" w:hanging="360"/>
      </w:pPr>
      <w:rPr>
        <w:rFonts w:ascii="Symbol" w:hAnsi="Symbol" w:cs="Symbol" w:hint="default"/>
        <w:lang w:val="pl-PL" w:eastAsia="pl-PL" w:bidi="pl-P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360"/>
      </w:pPr>
      <w:rPr>
        <w:rFonts w:ascii="Symbol" w:hAnsi="Symbol" w:cs="Symbol" w:hint="default"/>
        <w:lang w:val="pl-PL" w:eastAsia="pl-PL" w:bidi="pl-PL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63" w:hanging="360"/>
      </w:pPr>
      <w:rPr>
        <w:rFonts w:ascii="Symbol" w:hAnsi="Symbol" w:cs="Symbol" w:hint="default"/>
        <w:lang w:val="pl-PL" w:eastAsia="pl-PL" w:bidi="pl-PL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8" w:hanging="360"/>
      </w:pPr>
      <w:rPr>
        <w:rFonts w:ascii="Symbol" w:hAnsi="Symbol" w:cs="Symbol" w:hint="default"/>
        <w:lang w:val="pl-PL" w:eastAsia="pl-PL" w:bidi="pl-PL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13" w:hanging="360"/>
      </w:pPr>
      <w:rPr>
        <w:rFonts w:ascii="Symbol" w:hAnsi="Symbol" w:cs="Symbol" w:hint="default"/>
        <w:lang w:val="pl-PL" w:eastAsia="pl-PL" w:bidi="pl-PL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87" w:hanging="360"/>
      </w:pPr>
      <w:rPr>
        <w:rFonts w:ascii="Symbol" w:hAnsi="Symbol" w:cs="Symbol" w:hint="default"/>
        <w:lang w:val="pl-PL" w:eastAsia="pl-PL" w:bidi="pl-PL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62" w:hanging="360"/>
      </w:pPr>
      <w:rPr>
        <w:rFonts w:ascii="Symbol" w:hAnsi="Symbol" w:cs="Symbol" w:hint="default"/>
        <w:lang w:val="pl-PL" w:eastAsia="pl-PL" w:bidi="pl-PL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7" w:hanging="360"/>
      </w:pPr>
      <w:rPr>
        <w:rFonts w:ascii="Symbol" w:hAnsi="Symbol" w:cs="Symbol" w:hint="default"/>
        <w:lang w:val="pl-PL" w:eastAsia="pl-PL" w:bidi="pl-P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32" w:hanging="360"/>
      </w:pPr>
      <w:rPr>
        <w:sz w:val="24"/>
        <w:szCs w:val="24"/>
        <w:w w:val="100"/>
        <w:rFonts w:ascii="Calibri" w:hAnsi="Calibri" w:eastAsia="Liberation Sans Narrow" w:cs="Calibri"/>
        <w:lang w:val="pl-PL" w:eastAsia="pl-PL" w:bidi="pl-P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14" w:hanging="360"/>
      </w:pPr>
      <w:rPr>
        <w:rFonts w:ascii="Symbol" w:hAnsi="Symbol" w:cs="Symbol" w:hint="default"/>
        <w:lang w:val="pl-PL" w:eastAsia="pl-PL" w:bidi="pl-P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360"/>
      </w:pPr>
      <w:rPr>
        <w:rFonts w:ascii="Symbol" w:hAnsi="Symbol" w:cs="Symbol" w:hint="default"/>
        <w:lang w:val="pl-PL" w:eastAsia="pl-PL" w:bidi="pl-PL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63" w:hanging="360"/>
      </w:pPr>
      <w:rPr>
        <w:rFonts w:ascii="Symbol" w:hAnsi="Symbol" w:cs="Symbol" w:hint="default"/>
        <w:lang w:val="pl-PL" w:eastAsia="pl-PL" w:bidi="pl-PL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8" w:hanging="360"/>
      </w:pPr>
      <w:rPr>
        <w:rFonts w:ascii="Symbol" w:hAnsi="Symbol" w:cs="Symbol" w:hint="default"/>
        <w:lang w:val="pl-PL" w:eastAsia="pl-PL" w:bidi="pl-PL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13" w:hanging="360"/>
      </w:pPr>
      <w:rPr>
        <w:rFonts w:ascii="Symbol" w:hAnsi="Symbol" w:cs="Symbol" w:hint="default"/>
        <w:lang w:val="pl-PL" w:eastAsia="pl-PL" w:bidi="pl-PL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87" w:hanging="360"/>
      </w:pPr>
      <w:rPr>
        <w:rFonts w:ascii="Symbol" w:hAnsi="Symbol" w:cs="Symbol" w:hint="default"/>
        <w:lang w:val="pl-PL" w:eastAsia="pl-PL" w:bidi="pl-PL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62" w:hanging="360"/>
      </w:pPr>
      <w:rPr>
        <w:rFonts w:ascii="Symbol" w:hAnsi="Symbol" w:cs="Symbol" w:hint="default"/>
        <w:lang w:val="pl-PL" w:eastAsia="pl-PL" w:bidi="pl-PL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7" w:hanging="360"/>
      </w:pPr>
      <w:rPr>
        <w:rFonts w:ascii="Symbol" w:hAnsi="Symbol" w:cs="Symbol" w:hint="default"/>
        <w:lang w:val="pl-PL" w:eastAsia="pl-PL" w:bidi="pl-P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532" w:hanging="360"/>
      </w:pPr>
      <w:rPr>
        <w:sz w:val="24"/>
        <w:szCs w:val="24"/>
        <w:w w:val="100"/>
        <w:rFonts w:ascii="Calibri" w:hAnsi="Calibri" w:eastAsia="Liberation Sans Narrow" w:cs="Calibri"/>
        <w:lang w:val="pl-PL" w:eastAsia="pl-PL" w:bidi="pl-P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14" w:hanging="360"/>
      </w:pPr>
      <w:rPr>
        <w:rFonts w:ascii="Symbol" w:hAnsi="Symbol" w:cs="Symbol" w:hint="default"/>
        <w:lang w:val="pl-PL" w:eastAsia="pl-PL" w:bidi="pl-P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360"/>
      </w:pPr>
      <w:rPr>
        <w:rFonts w:ascii="Symbol" w:hAnsi="Symbol" w:cs="Symbol" w:hint="default"/>
        <w:lang w:val="pl-PL" w:eastAsia="pl-PL" w:bidi="pl-PL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63" w:hanging="360"/>
      </w:pPr>
      <w:rPr>
        <w:rFonts w:ascii="Symbol" w:hAnsi="Symbol" w:cs="Symbol" w:hint="default"/>
        <w:lang w:val="pl-PL" w:eastAsia="pl-PL" w:bidi="pl-PL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8" w:hanging="360"/>
      </w:pPr>
      <w:rPr>
        <w:rFonts w:ascii="Symbol" w:hAnsi="Symbol" w:cs="Symbol" w:hint="default"/>
        <w:lang w:val="pl-PL" w:eastAsia="pl-PL" w:bidi="pl-PL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13" w:hanging="360"/>
      </w:pPr>
      <w:rPr>
        <w:rFonts w:ascii="Symbol" w:hAnsi="Symbol" w:cs="Symbol" w:hint="default"/>
        <w:lang w:val="pl-PL" w:eastAsia="pl-PL" w:bidi="pl-PL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87" w:hanging="360"/>
      </w:pPr>
      <w:rPr>
        <w:rFonts w:ascii="Symbol" w:hAnsi="Symbol" w:cs="Symbol" w:hint="default"/>
        <w:lang w:val="pl-PL" w:eastAsia="pl-PL" w:bidi="pl-PL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62" w:hanging="360"/>
      </w:pPr>
      <w:rPr>
        <w:rFonts w:ascii="Symbol" w:hAnsi="Symbol" w:cs="Symbol" w:hint="default"/>
        <w:lang w:val="pl-PL" w:eastAsia="pl-PL" w:bidi="pl-PL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7" w:hanging="360"/>
      </w:pPr>
      <w:rPr>
        <w:rFonts w:ascii="Symbol" w:hAnsi="Symbol" w:cs="Symbol" w:hint="default"/>
        <w:lang w:val="pl-PL" w:eastAsia="pl-PL" w:bidi="pl-P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532" w:hanging="425"/>
      </w:pPr>
      <w:rPr>
        <w:sz w:val="24"/>
        <w:szCs w:val="24"/>
        <w:w w:val="100"/>
        <w:rFonts w:ascii="Calibri" w:hAnsi="Calibri" w:eastAsia="Liberation Sans Narrow" w:cs="Calibri"/>
        <w:lang w:val="pl-PL" w:eastAsia="pl-PL" w:bidi="pl-PL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60" w:hanging="361"/>
      </w:pPr>
      <w:rPr>
        <w:b w:val="false"/>
        <w:bCs w:val="false"/>
        <w:w w:val="100"/>
        <w:lang w:val="pl-PL" w:eastAsia="pl-PL" w:bidi="pl-P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6" w:hanging="361"/>
      </w:pPr>
      <w:rPr>
        <w:rFonts w:ascii="Symbol" w:hAnsi="Symbol" w:cs="Symbol" w:hint="default"/>
        <w:lang w:val="pl-PL" w:eastAsia="pl-PL" w:bidi="pl-PL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32" w:hanging="361"/>
      </w:pPr>
      <w:rPr>
        <w:rFonts w:ascii="Symbol" w:hAnsi="Symbol" w:cs="Symbol" w:hint="default"/>
        <w:lang w:val="pl-PL" w:eastAsia="pl-PL" w:bidi="pl-PL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68" w:hanging="361"/>
      </w:pPr>
      <w:rPr>
        <w:rFonts w:ascii="Symbol" w:hAnsi="Symbol" w:cs="Symbol" w:hint="default"/>
        <w:lang w:val="pl-PL" w:eastAsia="pl-PL" w:bidi="pl-PL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5" w:hanging="361"/>
      </w:pPr>
      <w:rPr>
        <w:rFonts w:ascii="Symbol" w:hAnsi="Symbol" w:cs="Symbol" w:hint="default"/>
        <w:lang w:val="pl-PL" w:eastAsia="pl-PL" w:bidi="pl-PL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1" w:hanging="361"/>
      </w:pPr>
      <w:rPr>
        <w:rFonts w:ascii="Symbol" w:hAnsi="Symbol" w:cs="Symbol" w:hint="default"/>
        <w:lang w:val="pl-PL" w:eastAsia="pl-PL" w:bidi="pl-PL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77" w:hanging="361"/>
      </w:pPr>
      <w:rPr>
        <w:rFonts w:ascii="Symbol" w:hAnsi="Symbol" w:cs="Symbol" w:hint="default"/>
        <w:lang w:val="pl-PL" w:eastAsia="pl-PL" w:bidi="pl-PL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3" w:hanging="361"/>
      </w:pPr>
      <w:rPr>
        <w:rFonts w:ascii="Symbol" w:hAnsi="Symbol" w:cs="Symbol" w:hint="default"/>
        <w:lang w:val="pl-PL" w:eastAsia="pl-PL" w:bidi="pl-P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9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1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5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7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9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1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35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25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7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9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1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3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5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7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9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12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7ea2"/>
    <w:pPr>
      <w:widowControl w:val="false"/>
      <w:suppressAutoHyphens w:val="true"/>
      <w:bidi w:val="0"/>
      <w:spacing w:before="0" w:after="0"/>
      <w:jc w:val="left"/>
    </w:pPr>
    <w:rPr>
      <w:rFonts w:ascii="Liberation Sans Narrow" w:hAnsi="Liberation Sans Narrow" w:eastAsia="Liberation Sans Narrow" w:cs="Liberation Sans Narrow"/>
      <w:color w:val="auto"/>
      <w:kern w:val="0"/>
      <w:sz w:val="22"/>
      <w:szCs w:val="22"/>
      <w:lang w:val="pl-PL" w:eastAsia="pl-PL" w:bidi="pl-PL"/>
    </w:rPr>
  </w:style>
  <w:style w:type="paragraph" w:styleId="Nagwek1">
    <w:name w:val="Heading 1"/>
    <w:basedOn w:val="Normal"/>
    <w:link w:val="Nagwek1Znak"/>
    <w:uiPriority w:val="9"/>
    <w:qFormat/>
    <w:rsid w:val="00687ea2"/>
    <w:pPr>
      <w:spacing w:before="38" w:after="0"/>
      <w:ind w:left="714" w:right="297" w:hanging="0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uiPriority w:val="9"/>
    <w:qFormat/>
    <w:rsid w:val="00687ea2"/>
    <w:rPr>
      <w:rFonts w:ascii="Liberation Sans Narrow" w:hAnsi="Liberation Sans Narrow" w:eastAsia="Liberation Sans Narrow" w:cs="Liberation Sans Narrow"/>
      <w:b/>
      <w:bCs/>
      <w:lang w:eastAsia="pl-PL" w:bidi="pl-PL"/>
    </w:rPr>
  </w:style>
  <w:style w:type="character" w:styleId="TekstpodstawowyZnak" w:customStyle="1">
    <w:name w:val="Tekst podstawowy Znak"/>
    <w:basedOn w:val="DefaultParagraphFont"/>
    <w:uiPriority w:val="1"/>
    <w:qFormat/>
    <w:rsid w:val="00687ea2"/>
    <w:rPr>
      <w:rFonts w:ascii="Liberation Sans Narrow" w:hAnsi="Liberation Sans Narrow" w:eastAsia="Liberation Sans Narrow" w:cs="Liberation Sans Narrow"/>
      <w:lang w:eastAsia="pl-PL" w:bidi="pl-P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87ea2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qFormat/>
    <w:rsid w:val="00687ea2"/>
    <w:rPr>
      <w:rFonts w:ascii="Liberation Sans Narrow" w:hAnsi="Liberation Sans Narrow" w:eastAsia="Liberation Sans Narrow" w:cs="Liberation Sans Narrow"/>
      <w:sz w:val="20"/>
      <w:szCs w:val="20"/>
      <w:lang w:eastAsia="pl-PL" w:bidi="pl-PL"/>
    </w:rPr>
  </w:style>
  <w:style w:type="character" w:styleId="NagwekZnak" w:customStyle="1">
    <w:name w:val="Nagłówek Znak"/>
    <w:basedOn w:val="DefaultParagraphFont"/>
    <w:uiPriority w:val="99"/>
    <w:qFormat/>
    <w:rsid w:val="003739dd"/>
    <w:rPr>
      <w:rFonts w:ascii="Liberation Sans Narrow" w:hAnsi="Liberation Sans Narrow" w:eastAsia="Liberation Sans Narrow" w:cs="Liberation Sans Narrow"/>
      <w:lang w:eastAsia="pl-PL" w:bidi="pl-PL"/>
    </w:rPr>
  </w:style>
  <w:style w:type="character" w:styleId="StopkaZnak" w:customStyle="1">
    <w:name w:val="Stopka Znak"/>
    <w:basedOn w:val="DefaultParagraphFont"/>
    <w:uiPriority w:val="99"/>
    <w:qFormat/>
    <w:rsid w:val="003739dd"/>
    <w:rPr>
      <w:rFonts w:ascii="Liberation Sans Narrow" w:hAnsi="Liberation Sans Narrow" w:eastAsia="Liberation Sans Narrow" w:cs="Liberation Sans Narrow"/>
      <w:lang w:eastAsia="pl-PL" w:bidi="pl-PL"/>
    </w:rPr>
  </w:style>
  <w:style w:type="character" w:styleId="TematkomentarzaZnak" w:customStyle="1">
    <w:name w:val="Temat komentarza Znak"/>
    <w:basedOn w:val="TekstkomentarzaZnak"/>
    <w:link w:val="Annotationsubject"/>
    <w:uiPriority w:val="99"/>
    <w:semiHidden/>
    <w:qFormat/>
    <w:rsid w:val="004871be"/>
    <w:rPr>
      <w:rFonts w:ascii="Liberation Sans Narrow" w:hAnsi="Liberation Sans Narrow" w:eastAsia="Liberation Sans Narrow" w:cs="Liberation Sans Narrow"/>
      <w:b/>
      <w:bCs/>
      <w:sz w:val="20"/>
      <w:szCs w:val="20"/>
      <w:lang w:eastAsia="pl-PL" w:bidi="pl-PL"/>
    </w:rPr>
  </w:style>
  <w:style w:type="character" w:styleId="Numeracjawierszy" w:customStyle="1">
    <w:name w:val="Numeracja wierszy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iPriority w:val="1"/>
    <w:qFormat/>
    <w:rsid w:val="00687ea2"/>
    <w:pPr>
      <w:ind w:left="960" w:hanging="36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link w:val="NagwekZnak"/>
    <w:uiPriority w:val="99"/>
    <w:unhideWhenUsed/>
    <w:rsid w:val="003739d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87ea2"/>
    <w:pPr>
      <w:ind w:left="960" w:hanging="360"/>
    </w:pPr>
    <w:rPr/>
  </w:style>
  <w:style w:type="paragraph" w:styleId="Annotationtext">
    <w:name w:val="annotation text"/>
    <w:basedOn w:val="Normal"/>
    <w:link w:val="TekstkomentarzaZnak"/>
    <w:uiPriority w:val="99"/>
    <w:unhideWhenUsed/>
    <w:qFormat/>
    <w:rsid w:val="00687ea2"/>
    <w:pPr/>
    <w:rPr>
      <w:sz w:val="20"/>
      <w:szCs w:val="20"/>
    </w:rPr>
  </w:style>
  <w:style w:type="paragraph" w:styleId="Stopka">
    <w:name w:val="Footer"/>
    <w:basedOn w:val="Normal"/>
    <w:link w:val="StopkaZnak"/>
    <w:uiPriority w:val="99"/>
    <w:unhideWhenUsed/>
    <w:rsid w:val="003739d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Revision">
    <w:name w:val="Revision"/>
    <w:uiPriority w:val="99"/>
    <w:semiHidden/>
    <w:qFormat/>
    <w:rsid w:val="00f67d44"/>
    <w:pPr>
      <w:widowControl/>
      <w:suppressAutoHyphens w:val="true"/>
      <w:bidi w:val="0"/>
      <w:spacing w:before="0" w:after="0"/>
      <w:jc w:val="left"/>
    </w:pPr>
    <w:rPr>
      <w:rFonts w:ascii="Liberation Sans Narrow" w:hAnsi="Liberation Sans Narrow" w:eastAsia="Liberation Sans Narrow" w:cs="Liberation Sans Narrow"/>
      <w:color w:val="auto"/>
      <w:kern w:val="0"/>
      <w:sz w:val="22"/>
      <w:szCs w:val="22"/>
      <w:lang w:val="pl-PL" w:eastAsia="pl-PL" w:bidi="pl-PL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4871be"/>
    <w:pPr/>
    <w:rPr>
      <w:b/>
      <w:bCs/>
    </w:rPr>
  </w:style>
  <w:style w:type="paragraph" w:styleId="Zawartoramki" w:customStyle="1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CCF65-3274-44E4-AC93-051553601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LibreOffice/7.3.2.2$Windows_X86_64 LibreOffice_project/49f2b1bff42cfccbd8f788c8dc32c1c309559be0</Application>
  <AppVersion>15.0000</AppVersion>
  <Pages>8</Pages>
  <Words>2734</Words>
  <Characters>18888</Characters>
  <CharactersWithSpaces>21490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2022-10-26T11:37:00Z</dcterms:created>
  <dc:creator>LGD Brodnica</dc:creator>
  <dc:description/>
  <dc:language>pl-PL</dc:language>
  <cp:lastModifiedBy/>
  <dcterms:modified xsi:type="dcterms:W3CDTF">2023-06-27T15:57:46Z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