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BA0E6" w14:textId="77777777" w:rsidR="006C721E" w:rsidRDefault="006C721E" w:rsidP="006C721E">
      <w:pPr>
        <w:pStyle w:val="Default"/>
        <w:rPr>
          <w:rFonts w:asciiTheme="minorHAnsi" w:hAnsiTheme="minorHAnsi"/>
        </w:rPr>
      </w:pPr>
    </w:p>
    <w:p w14:paraId="4A7C772C" w14:textId="4F98C6EA" w:rsidR="00B35EE7" w:rsidRPr="00743F00" w:rsidRDefault="00B35EE7" w:rsidP="006C721E">
      <w:pPr>
        <w:pStyle w:val="Default"/>
        <w:jc w:val="center"/>
        <w:rPr>
          <w:rFonts w:asciiTheme="minorHAnsi" w:hAnsiTheme="minorHAnsi"/>
          <w:sz w:val="22"/>
          <w:szCs w:val="22"/>
        </w:rPr>
      </w:pPr>
      <w:r w:rsidRPr="00743F00">
        <w:rPr>
          <w:rFonts w:asciiTheme="minorHAnsi" w:hAnsiTheme="minorHAnsi"/>
          <w:b/>
          <w:bCs/>
          <w:sz w:val="22"/>
          <w:szCs w:val="22"/>
        </w:rPr>
        <w:t xml:space="preserve">Standard oraz ceny rynkowe najczęściej finansowanych wydatków w projektach w ramach </w:t>
      </w:r>
      <w:r w:rsidR="00D82A7A">
        <w:rPr>
          <w:rFonts w:asciiTheme="minorHAnsi" w:hAnsiTheme="minorHAnsi"/>
          <w:b/>
          <w:bCs/>
          <w:sz w:val="22"/>
          <w:szCs w:val="22"/>
        </w:rPr>
        <w:t>Dział</w:t>
      </w:r>
      <w:bookmarkStart w:id="0" w:name="_GoBack"/>
      <w:bookmarkEnd w:id="0"/>
      <w:r w:rsidR="00D82A7A">
        <w:rPr>
          <w:rFonts w:asciiTheme="minorHAnsi" w:hAnsiTheme="minorHAnsi"/>
          <w:b/>
          <w:bCs/>
          <w:sz w:val="22"/>
          <w:szCs w:val="22"/>
        </w:rPr>
        <w:t>ania</w:t>
      </w:r>
      <w:r w:rsidRPr="00743F00">
        <w:rPr>
          <w:rFonts w:asciiTheme="minorHAnsi" w:hAnsiTheme="minorHAnsi"/>
          <w:b/>
          <w:bCs/>
          <w:sz w:val="22"/>
          <w:szCs w:val="22"/>
        </w:rPr>
        <w:t xml:space="preserve"> </w:t>
      </w:r>
      <w:r w:rsidR="005E4954">
        <w:rPr>
          <w:rFonts w:asciiTheme="minorHAnsi" w:hAnsiTheme="minorHAnsi"/>
          <w:b/>
          <w:bCs/>
          <w:sz w:val="22"/>
          <w:szCs w:val="22"/>
        </w:rPr>
        <w:t>11</w:t>
      </w:r>
      <w:r w:rsidR="006D20E2">
        <w:rPr>
          <w:rFonts w:asciiTheme="minorHAnsi" w:hAnsiTheme="minorHAnsi"/>
          <w:b/>
          <w:bCs/>
          <w:sz w:val="22"/>
          <w:szCs w:val="22"/>
        </w:rPr>
        <w:t>.1</w:t>
      </w:r>
    </w:p>
    <w:p w14:paraId="23F4B42B" w14:textId="77777777" w:rsidR="00B35EE7" w:rsidRPr="00743F00" w:rsidRDefault="00B35EE7" w:rsidP="00B35EE7">
      <w:pPr>
        <w:pStyle w:val="Default"/>
        <w:jc w:val="both"/>
        <w:rPr>
          <w:rFonts w:asciiTheme="minorHAnsi" w:hAnsiTheme="minorHAnsi"/>
          <w:sz w:val="22"/>
          <w:szCs w:val="22"/>
        </w:rPr>
      </w:pPr>
    </w:p>
    <w:p w14:paraId="56A2887D" w14:textId="7BFD9305" w:rsidR="00D82A7A" w:rsidRPr="00D82A7A" w:rsidRDefault="003F48CD" w:rsidP="00D82A7A">
      <w:pPr>
        <w:autoSpaceDE w:val="0"/>
        <w:autoSpaceDN w:val="0"/>
        <w:adjustRightInd w:val="0"/>
        <w:spacing w:after="0"/>
        <w:rPr>
          <w:rFonts w:cs="Calibri"/>
          <w:color w:val="000000"/>
        </w:rPr>
      </w:pPr>
      <w:r w:rsidRPr="00D82A7A">
        <w:rPr>
          <w:rFonts w:cs="Calibri"/>
          <w:color w:val="000000"/>
        </w:rPr>
        <w:t>Dokument ten określa k</w:t>
      </w:r>
      <w:r w:rsidR="00B35EE7" w:rsidRPr="00D82A7A">
        <w:rPr>
          <w:rFonts w:cs="Calibri"/>
          <w:color w:val="000000"/>
        </w:rPr>
        <w:t xml:space="preserve">atalog </w:t>
      </w:r>
      <w:r w:rsidRPr="00D82A7A">
        <w:rPr>
          <w:rFonts w:cs="Calibri"/>
          <w:color w:val="000000"/>
        </w:rPr>
        <w:t xml:space="preserve">najczęściej finansowanych kosztów </w:t>
      </w:r>
      <w:r w:rsidR="00D82A7A">
        <w:rPr>
          <w:rFonts w:cs="Calibri"/>
          <w:color w:val="000000"/>
        </w:rPr>
        <w:t>na</w:t>
      </w:r>
      <w:r w:rsidRPr="00D82A7A">
        <w:rPr>
          <w:rFonts w:cs="Calibri"/>
          <w:color w:val="000000"/>
        </w:rPr>
        <w:t xml:space="preserve"> </w:t>
      </w:r>
      <w:r w:rsidR="00D82A7A" w:rsidRPr="00D82A7A">
        <w:rPr>
          <w:rFonts w:cs="Calibri"/>
          <w:color w:val="000000"/>
        </w:rPr>
        <w:t>wdrożeni</w:t>
      </w:r>
      <w:r w:rsidR="00D82A7A">
        <w:rPr>
          <w:rFonts w:cs="Calibri"/>
          <w:color w:val="000000"/>
        </w:rPr>
        <w:t>e</w:t>
      </w:r>
      <w:r w:rsidR="00D82A7A" w:rsidRPr="00D82A7A">
        <w:rPr>
          <w:rFonts w:cs="Calibri"/>
          <w:color w:val="000000"/>
        </w:rPr>
        <w:t xml:space="preserve"> rozwiązań z obszaru aktywnej integracji o charakterze środowiskowym takich jak:</w:t>
      </w:r>
    </w:p>
    <w:p w14:paraId="345B19B9" w14:textId="1B354A9F" w:rsidR="00D82A7A" w:rsidRPr="00D82A7A" w:rsidRDefault="00D82A7A" w:rsidP="00D82A7A">
      <w:pPr>
        <w:autoSpaceDE w:val="0"/>
        <w:autoSpaceDN w:val="0"/>
        <w:adjustRightInd w:val="0"/>
        <w:spacing w:after="0"/>
        <w:rPr>
          <w:rFonts w:cs="Calibri"/>
          <w:color w:val="000000"/>
        </w:rPr>
      </w:pPr>
      <w:r>
        <w:rPr>
          <w:rFonts w:cs="Calibri"/>
          <w:color w:val="000000"/>
        </w:rPr>
        <w:t xml:space="preserve">- </w:t>
      </w:r>
      <w:r w:rsidRPr="00D82A7A">
        <w:rPr>
          <w:rFonts w:cs="Calibri"/>
          <w:color w:val="000000"/>
        </w:rPr>
        <w:t>kluby pracy</w:t>
      </w:r>
      <w:r>
        <w:rPr>
          <w:rFonts w:cs="Calibri"/>
          <w:color w:val="000000"/>
        </w:rPr>
        <w:t>,</w:t>
      </w:r>
    </w:p>
    <w:p w14:paraId="240AE0A8" w14:textId="611A9684" w:rsidR="00D82A7A" w:rsidRPr="00D82A7A" w:rsidRDefault="00D82A7A" w:rsidP="00D82A7A">
      <w:pPr>
        <w:autoSpaceDE w:val="0"/>
        <w:autoSpaceDN w:val="0"/>
        <w:adjustRightInd w:val="0"/>
        <w:spacing w:after="0"/>
        <w:rPr>
          <w:rFonts w:cs="Calibri"/>
          <w:color w:val="000000"/>
        </w:rPr>
      </w:pPr>
      <w:r>
        <w:rPr>
          <w:rFonts w:cs="Calibri"/>
          <w:color w:val="000000"/>
        </w:rPr>
        <w:t xml:space="preserve">- </w:t>
      </w:r>
      <w:r w:rsidRPr="00D82A7A">
        <w:rPr>
          <w:rFonts w:cs="Calibri"/>
          <w:color w:val="000000"/>
        </w:rPr>
        <w:t>aktywizacja społeczno-zawodowa</w:t>
      </w:r>
      <w:r w:rsidRPr="00D82A7A">
        <w:rPr>
          <w:rFonts w:cs="Calibri"/>
          <w:color w:val="000000"/>
        </w:rPr>
        <w:t xml:space="preserve"> </w:t>
      </w:r>
    </w:p>
    <w:p w14:paraId="7DB09FA6" w14:textId="7D403A56" w:rsidR="003F48CD" w:rsidRPr="00D82A7A" w:rsidRDefault="003F48CD" w:rsidP="00D82A7A">
      <w:pPr>
        <w:autoSpaceDE w:val="0"/>
        <w:autoSpaceDN w:val="0"/>
        <w:adjustRightInd w:val="0"/>
        <w:spacing w:after="0"/>
        <w:rPr>
          <w:rFonts w:cs="Calibri"/>
          <w:color w:val="000000"/>
        </w:rPr>
      </w:pPr>
      <w:r w:rsidRPr="00D82A7A">
        <w:rPr>
          <w:rFonts w:cs="Calibri"/>
          <w:color w:val="000000"/>
        </w:rPr>
        <w:t xml:space="preserve">oraz zawiera zalecenia odnośnie </w:t>
      </w:r>
      <w:r w:rsidR="006B1E5B" w:rsidRPr="00D82A7A">
        <w:rPr>
          <w:rFonts w:cs="Calibri"/>
          <w:color w:val="000000"/>
        </w:rPr>
        <w:t xml:space="preserve">do </w:t>
      </w:r>
      <w:r w:rsidRPr="00D82A7A">
        <w:rPr>
          <w:rFonts w:cs="Calibri"/>
          <w:color w:val="000000"/>
        </w:rPr>
        <w:t>zasad konstruowania budżetu szczegółowego projektu.</w:t>
      </w:r>
    </w:p>
    <w:p w14:paraId="68B532A8" w14:textId="77777777" w:rsidR="00D765C8" w:rsidRPr="00D765C8" w:rsidRDefault="00D765C8" w:rsidP="00D765C8">
      <w:pPr>
        <w:autoSpaceDE w:val="0"/>
        <w:autoSpaceDN w:val="0"/>
        <w:adjustRightInd w:val="0"/>
        <w:spacing w:after="0"/>
        <w:rPr>
          <w:rFonts w:cs="Calibri"/>
          <w:color w:val="000000"/>
        </w:rPr>
      </w:pPr>
    </w:p>
    <w:p w14:paraId="0A6543C1" w14:textId="77777777" w:rsidR="00D765C8" w:rsidRPr="00D765C8" w:rsidRDefault="00D765C8" w:rsidP="00D765C8">
      <w:pPr>
        <w:autoSpaceDE w:val="0"/>
        <w:autoSpaceDN w:val="0"/>
        <w:adjustRightInd w:val="0"/>
        <w:spacing w:after="0"/>
        <w:rPr>
          <w:rFonts w:cs="Calibri"/>
          <w:color w:val="000000"/>
        </w:rPr>
      </w:pPr>
      <w:r w:rsidRPr="00D765C8">
        <w:rPr>
          <w:rFonts w:cs="Calibri"/>
          <w:color w:val="000000"/>
        </w:rPr>
        <w:t xml:space="preserve">Katalog kosztów nie ma charakteru zamkniętego. Dopuszczalne jest ujmowanie w projekcie innych kosztów, które są niezbędne do jego realizacji. Stawki wyszczególnione w zestawieniu są stawkami maksymalnymi, jednak nie oznacza to automatycznego akceptowania przez oceniających stawek założonych na maksymalnym poziomie (brane pod uwagę będą takie czynniki jak: specyfika projektu, stopień złożoności projektu, wielkość grupy docelowej, miejsce realizacji itp.). </w:t>
      </w:r>
    </w:p>
    <w:p w14:paraId="69E50C17" w14:textId="77777777" w:rsidR="00D765C8" w:rsidRPr="00D765C8" w:rsidRDefault="00D765C8" w:rsidP="00D765C8">
      <w:pPr>
        <w:autoSpaceDE w:val="0"/>
        <w:autoSpaceDN w:val="0"/>
        <w:adjustRightInd w:val="0"/>
        <w:spacing w:after="0"/>
        <w:rPr>
          <w:rFonts w:cs="Calibri"/>
          <w:color w:val="000000"/>
        </w:rPr>
      </w:pPr>
    </w:p>
    <w:p w14:paraId="130DCB6A" w14:textId="77777777" w:rsidR="00D765C8" w:rsidRPr="00D765C8" w:rsidRDefault="00D765C8" w:rsidP="00D765C8">
      <w:pPr>
        <w:autoSpaceDE w:val="0"/>
        <w:autoSpaceDN w:val="0"/>
        <w:adjustRightInd w:val="0"/>
        <w:spacing w:after="0"/>
        <w:rPr>
          <w:rFonts w:cs="Calibri"/>
          <w:color w:val="000000"/>
        </w:rPr>
      </w:pPr>
      <w:r w:rsidRPr="00D765C8">
        <w:rPr>
          <w:rFonts w:cs="Calibri"/>
          <w:color w:val="000000"/>
        </w:rPr>
        <w:t>Kwoty ujęte w zestawieniu uwzględniają wartość brutto wydatku (z wyjątkiem wynagrodzeń, które są szacowane z uwzględnieniem kosztów pracodawcy). Niemniej, wydatki na wynagrodzenie personelu są kwalifikowalne pod warunkiem, że ich wysokość odpowiada stawkom faktycznie stosowanym u wnioskodawcy/beneficjenta poza projektami współfinansowanymi z funduszy strukturalnych i FS na analogicznych stanowiskach lub na stanowiskach wymagających analogicznych kwalifikacji.</w:t>
      </w:r>
    </w:p>
    <w:p w14:paraId="13415B0E" w14:textId="77777777" w:rsidR="00D765C8" w:rsidRPr="00D765C8" w:rsidRDefault="00D765C8" w:rsidP="00D765C8">
      <w:pPr>
        <w:autoSpaceDE w:val="0"/>
        <w:autoSpaceDN w:val="0"/>
        <w:adjustRightInd w:val="0"/>
        <w:spacing w:after="0"/>
        <w:jc w:val="both"/>
        <w:rPr>
          <w:rFonts w:cs="Calibri"/>
          <w:color w:val="000000"/>
        </w:rPr>
      </w:pP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1642"/>
        <w:gridCol w:w="1701"/>
        <w:gridCol w:w="5812"/>
      </w:tblGrid>
      <w:tr w:rsidR="00D765C8" w:rsidRPr="00D765C8" w14:paraId="52E3DDB9" w14:textId="77777777" w:rsidTr="00247EF6">
        <w:tc>
          <w:tcPr>
            <w:tcW w:w="456" w:type="dxa"/>
            <w:shd w:val="clear" w:color="auto" w:fill="D9D9D9"/>
          </w:tcPr>
          <w:p w14:paraId="4D4EEEBE" w14:textId="77777777" w:rsidR="00D765C8" w:rsidRPr="00D765C8" w:rsidRDefault="00D765C8" w:rsidP="00D765C8">
            <w:pPr>
              <w:autoSpaceDE w:val="0"/>
              <w:autoSpaceDN w:val="0"/>
              <w:adjustRightInd w:val="0"/>
              <w:spacing w:after="0" w:line="240" w:lineRule="auto"/>
              <w:jc w:val="center"/>
              <w:rPr>
                <w:rFonts w:ascii="Calibri" w:hAnsi="Calibri" w:cs="Calibri"/>
                <w:b/>
                <w:bCs/>
                <w:color w:val="000000"/>
              </w:rPr>
            </w:pPr>
          </w:p>
        </w:tc>
        <w:tc>
          <w:tcPr>
            <w:tcW w:w="1642" w:type="dxa"/>
            <w:shd w:val="clear" w:color="auto" w:fill="D9D9D9"/>
          </w:tcPr>
          <w:p w14:paraId="6829D3E0" w14:textId="77777777" w:rsidR="00D765C8" w:rsidRPr="00D765C8" w:rsidRDefault="00D765C8" w:rsidP="00D765C8">
            <w:pPr>
              <w:autoSpaceDE w:val="0"/>
              <w:autoSpaceDN w:val="0"/>
              <w:adjustRightInd w:val="0"/>
              <w:spacing w:after="0" w:line="240" w:lineRule="auto"/>
              <w:jc w:val="center"/>
              <w:rPr>
                <w:rFonts w:ascii="Calibri" w:hAnsi="Calibri" w:cs="Calibri"/>
                <w:color w:val="000000"/>
              </w:rPr>
            </w:pPr>
            <w:r w:rsidRPr="00D765C8">
              <w:rPr>
                <w:rFonts w:ascii="Calibri" w:hAnsi="Calibri" w:cs="Calibri"/>
                <w:b/>
                <w:bCs/>
                <w:color w:val="000000"/>
              </w:rPr>
              <w:t>Rodzaj kosztu</w:t>
            </w:r>
          </w:p>
        </w:tc>
        <w:tc>
          <w:tcPr>
            <w:tcW w:w="1701" w:type="dxa"/>
            <w:shd w:val="clear" w:color="auto" w:fill="D9D9D9"/>
          </w:tcPr>
          <w:p w14:paraId="27B224F3" w14:textId="77777777" w:rsidR="00D765C8" w:rsidRPr="00D765C8" w:rsidRDefault="00D765C8" w:rsidP="00D765C8">
            <w:pPr>
              <w:autoSpaceDE w:val="0"/>
              <w:autoSpaceDN w:val="0"/>
              <w:adjustRightInd w:val="0"/>
              <w:spacing w:after="0" w:line="240" w:lineRule="auto"/>
              <w:jc w:val="center"/>
              <w:rPr>
                <w:rFonts w:ascii="Calibri" w:hAnsi="Calibri" w:cs="Calibri"/>
                <w:color w:val="000000"/>
              </w:rPr>
            </w:pPr>
            <w:r w:rsidRPr="00D765C8">
              <w:rPr>
                <w:rFonts w:ascii="Calibri" w:hAnsi="Calibri" w:cs="Calibri"/>
                <w:b/>
                <w:bCs/>
                <w:color w:val="000000"/>
              </w:rPr>
              <w:t>Maksymalny koszt</w:t>
            </w:r>
          </w:p>
        </w:tc>
        <w:tc>
          <w:tcPr>
            <w:tcW w:w="5812" w:type="dxa"/>
            <w:shd w:val="clear" w:color="auto" w:fill="D9D9D9"/>
          </w:tcPr>
          <w:p w14:paraId="78403951" w14:textId="77777777" w:rsidR="00D765C8" w:rsidRPr="00D765C8" w:rsidRDefault="00D765C8" w:rsidP="00D765C8">
            <w:pPr>
              <w:autoSpaceDE w:val="0"/>
              <w:autoSpaceDN w:val="0"/>
              <w:adjustRightInd w:val="0"/>
              <w:spacing w:after="0" w:line="240" w:lineRule="auto"/>
              <w:jc w:val="center"/>
              <w:rPr>
                <w:rFonts w:ascii="Calibri" w:hAnsi="Calibri" w:cs="Calibri"/>
                <w:color w:val="000000"/>
              </w:rPr>
            </w:pPr>
            <w:r w:rsidRPr="00D765C8">
              <w:rPr>
                <w:rFonts w:ascii="Calibri" w:hAnsi="Calibri" w:cs="Calibri"/>
                <w:b/>
                <w:bCs/>
                <w:color w:val="000000"/>
              </w:rPr>
              <w:t>Oczekiwany standard/Uzasadnienie</w:t>
            </w:r>
          </w:p>
        </w:tc>
      </w:tr>
      <w:tr w:rsidR="00D765C8" w:rsidRPr="00D765C8" w14:paraId="4D9A5B10" w14:textId="77777777" w:rsidTr="00247EF6">
        <w:tc>
          <w:tcPr>
            <w:tcW w:w="456" w:type="dxa"/>
            <w:shd w:val="clear" w:color="auto" w:fill="auto"/>
          </w:tcPr>
          <w:p w14:paraId="0ABDE172" w14:textId="77777777" w:rsidR="00D765C8" w:rsidRPr="00D765C8" w:rsidRDefault="00D765C8" w:rsidP="00D765C8">
            <w:pPr>
              <w:autoSpaceDE w:val="0"/>
              <w:autoSpaceDN w:val="0"/>
              <w:adjustRightInd w:val="0"/>
              <w:spacing w:after="0" w:line="240" w:lineRule="auto"/>
              <w:jc w:val="center"/>
              <w:rPr>
                <w:rFonts w:ascii="Calibri" w:hAnsi="Calibri" w:cs="Calibri"/>
                <w:b/>
                <w:bCs/>
                <w:color w:val="000000"/>
              </w:rPr>
            </w:pPr>
            <w:r w:rsidRPr="00D765C8">
              <w:rPr>
                <w:rFonts w:ascii="Calibri" w:hAnsi="Calibri" w:cs="Calibri"/>
                <w:b/>
                <w:bCs/>
                <w:color w:val="000000"/>
              </w:rPr>
              <w:t>1</w:t>
            </w:r>
          </w:p>
        </w:tc>
        <w:tc>
          <w:tcPr>
            <w:tcW w:w="1642" w:type="dxa"/>
            <w:shd w:val="clear" w:color="auto" w:fill="auto"/>
          </w:tcPr>
          <w:p w14:paraId="317E80B9" w14:textId="77777777" w:rsidR="00D765C8" w:rsidRPr="00D765C8" w:rsidRDefault="00D765C8" w:rsidP="00D765C8">
            <w:pPr>
              <w:autoSpaceDE w:val="0"/>
              <w:autoSpaceDN w:val="0"/>
              <w:adjustRightInd w:val="0"/>
              <w:spacing w:after="0" w:line="240" w:lineRule="auto"/>
              <w:jc w:val="center"/>
              <w:rPr>
                <w:rFonts w:ascii="Calibri" w:hAnsi="Calibri" w:cs="Calibri"/>
                <w:b/>
                <w:bCs/>
                <w:color w:val="000000"/>
              </w:rPr>
            </w:pPr>
            <w:r w:rsidRPr="00D765C8">
              <w:rPr>
                <w:rFonts w:ascii="Calibri" w:hAnsi="Calibri" w:cs="Calibri"/>
                <w:color w:val="000000"/>
                <w:sz w:val="24"/>
                <w:szCs w:val="24"/>
              </w:rPr>
              <w:t>Koszt przerwy kawowej</w:t>
            </w:r>
          </w:p>
        </w:tc>
        <w:tc>
          <w:tcPr>
            <w:tcW w:w="1701" w:type="dxa"/>
            <w:shd w:val="clear" w:color="auto" w:fill="auto"/>
          </w:tcPr>
          <w:p w14:paraId="5D1CF66C" w14:textId="77777777" w:rsidR="00D765C8" w:rsidRPr="00D765C8" w:rsidRDefault="00D765C8" w:rsidP="00D765C8">
            <w:pPr>
              <w:autoSpaceDE w:val="0"/>
              <w:autoSpaceDN w:val="0"/>
              <w:adjustRightInd w:val="0"/>
              <w:spacing w:after="0" w:line="240" w:lineRule="auto"/>
              <w:jc w:val="center"/>
              <w:rPr>
                <w:rFonts w:ascii="Calibri" w:hAnsi="Calibri" w:cs="Calibri"/>
                <w:b/>
                <w:bCs/>
                <w:color w:val="000000"/>
              </w:rPr>
            </w:pPr>
            <w:r w:rsidRPr="00D765C8">
              <w:rPr>
                <w:rFonts w:ascii="Calibri" w:hAnsi="Calibri" w:cs="Calibri"/>
                <w:b/>
                <w:bCs/>
                <w:color w:val="000000"/>
              </w:rPr>
              <w:t>15 zł/osobę</w:t>
            </w:r>
          </w:p>
        </w:tc>
        <w:tc>
          <w:tcPr>
            <w:tcW w:w="5812" w:type="dxa"/>
            <w:shd w:val="clear" w:color="auto" w:fill="auto"/>
          </w:tcPr>
          <w:p w14:paraId="3B26766F" w14:textId="77777777" w:rsidR="00D765C8" w:rsidRPr="00D765C8" w:rsidRDefault="00D765C8" w:rsidP="00D765C8">
            <w:pPr>
              <w:autoSpaceDE w:val="0"/>
              <w:autoSpaceDN w:val="0"/>
              <w:adjustRightInd w:val="0"/>
              <w:spacing w:after="0" w:line="240" w:lineRule="auto"/>
              <w:rPr>
                <w:rFonts w:ascii="Calibri" w:hAnsi="Calibri" w:cs="Calibri"/>
                <w:b/>
                <w:bCs/>
                <w:color w:val="000000"/>
              </w:rPr>
            </w:pPr>
            <w:r w:rsidRPr="00D765C8">
              <w:rPr>
                <w:rFonts w:ascii="Calibri" w:hAnsi="Calibri" w:cs="Calibri"/>
                <w:color w:val="000000"/>
                <w:sz w:val="24"/>
                <w:szCs w:val="24"/>
              </w:rPr>
              <w:t>Maksymalny koszt przerwy kawowej to 15 zł/osobę. Wydatek nie będzie kwalifikowany, jeżeli forma wsparcia w ramach której ma być świadczona przerwa kawowa dla tej samej grupy osób w danym dniu trwa krócej niż 4 godziny. Zakres: standardowa przerwa kawowa (kawa, herbata, woda, soki, ciastka, kanapki). Cena rynkowa powinna być uzależniona od rodzaju oferowanej usługi i jest niższa, jeśli finansowany jest mniejszy zakres usługi (np. kawa, herbata, woda, mleko, cukier cytryna bez drobnych lub słodkich przekąsek).</w:t>
            </w:r>
          </w:p>
        </w:tc>
      </w:tr>
      <w:tr w:rsidR="00D765C8" w:rsidRPr="00D765C8" w14:paraId="3DF2F833" w14:textId="77777777" w:rsidTr="00247EF6">
        <w:tc>
          <w:tcPr>
            <w:tcW w:w="456" w:type="dxa"/>
            <w:shd w:val="clear" w:color="auto" w:fill="auto"/>
          </w:tcPr>
          <w:p w14:paraId="35A44D61" w14:textId="77777777" w:rsidR="00D765C8" w:rsidRPr="00D765C8" w:rsidRDefault="00D765C8" w:rsidP="00D765C8">
            <w:pPr>
              <w:autoSpaceDE w:val="0"/>
              <w:autoSpaceDN w:val="0"/>
              <w:adjustRightInd w:val="0"/>
              <w:spacing w:after="0" w:line="240" w:lineRule="auto"/>
              <w:jc w:val="center"/>
              <w:rPr>
                <w:rFonts w:ascii="Calibri" w:hAnsi="Calibri" w:cs="Calibri"/>
                <w:b/>
                <w:bCs/>
                <w:color w:val="000000"/>
              </w:rPr>
            </w:pPr>
            <w:r w:rsidRPr="00D765C8">
              <w:rPr>
                <w:rFonts w:ascii="Calibri" w:hAnsi="Calibri" w:cs="Calibri"/>
                <w:b/>
                <w:bCs/>
                <w:color w:val="000000"/>
              </w:rPr>
              <w:t>2</w:t>
            </w:r>
          </w:p>
        </w:tc>
        <w:tc>
          <w:tcPr>
            <w:tcW w:w="1642" w:type="dxa"/>
            <w:shd w:val="clear" w:color="auto" w:fill="auto"/>
          </w:tcPr>
          <w:p w14:paraId="7B395089" w14:textId="77777777" w:rsidR="00D765C8" w:rsidRPr="00D765C8" w:rsidRDefault="00D765C8" w:rsidP="00D765C8">
            <w:pPr>
              <w:autoSpaceDE w:val="0"/>
              <w:autoSpaceDN w:val="0"/>
              <w:adjustRightInd w:val="0"/>
              <w:spacing w:after="0" w:line="240" w:lineRule="auto"/>
              <w:jc w:val="center"/>
              <w:rPr>
                <w:rFonts w:ascii="Calibri" w:hAnsi="Calibri" w:cs="Calibri"/>
                <w:b/>
                <w:bCs/>
                <w:color w:val="000000"/>
              </w:rPr>
            </w:pPr>
            <w:r w:rsidRPr="00D765C8">
              <w:rPr>
                <w:rFonts w:ascii="Calibri" w:hAnsi="Calibri" w:cs="Calibri"/>
                <w:color w:val="000000"/>
                <w:sz w:val="24"/>
                <w:szCs w:val="24"/>
              </w:rPr>
              <w:t>Koszt przerwy obiadowej</w:t>
            </w:r>
          </w:p>
        </w:tc>
        <w:tc>
          <w:tcPr>
            <w:tcW w:w="1701" w:type="dxa"/>
            <w:shd w:val="clear" w:color="auto" w:fill="auto"/>
          </w:tcPr>
          <w:p w14:paraId="60D390DA" w14:textId="77777777" w:rsidR="00D765C8" w:rsidRPr="00D765C8" w:rsidRDefault="00D765C8" w:rsidP="00D765C8">
            <w:pPr>
              <w:autoSpaceDE w:val="0"/>
              <w:autoSpaceDN w:val="0"/>
              <w:adjustRightInd w:val="0"/>
              <w:spacing w:after="0" w:line="240" w:lineRule="auto"/>
              <w:jc w:val="center"/>
              <w:rPr>
                <w:rFonts w:ascii="Calibri" w:hAnsi="Calibri" w:cs="Calibri"/>
                <w:b/>
                <w:bCs/>
                <w:color w:val="000000"/>
              </w:rPr>
            </w:pPr>
            <w:r w:rsidRPr="00D765C8">
              <w:rPr>
                <w:rFonts w:ascii="Calibri" w:hAnsi="Calibri" w:cs="Calibri"/>
                <w:b/>
                <w:bCs/>
                <w:color w:val="000000"/>
              </w:rPr>
              <w:t>44 zł/osobę</w:t>
            </w:r>
          </w:p>
        </w:tc>
        <w:tc>
          <w:tcPr>
            <w:tcW w:w="5812" w:type="dxa"/>
            <w:shd w:val="clear" w:color="auto" w:fill="auto"/>
          </w:tcPr>
          <w:p w14:paraId="2F68E96B" w14:textId="77777777" w:rsidR="00D765C8" w:rsidRPr="00D765C8" w:rsidRDefault="00D765C8" w:rsidP="00D765C8">
            <w:pPr>
              <w:autoSpaceDE w:val="0"/>
              <w:autoSpaceDN w:val="0"/>
              <w:adjustRightInd w:val="0"/>
              <w:spacing w:after="0" w:line="240" w:lineRule="auto"/>
              <w:rPr>
                <w:rFonts w:ascii="Calibri" w:hAnsi="Calibri" w:cs="Calibri"/>
                <w:color w:val="000000"/>
                <w:sz w:val="24"/>
                <w:szCs w:val="24"/>
              </w:rPr>
            </w:pPr>
            <w:r w:rsidRPr="00D765C8">
              <w:rPr>
                <w:rFonts w:ascii="Calibri" w:hAnsi="Calibri" w:cs="Calibri"/>
                <w:color w:val="000000"/>
                <w:sz w:val="24"/>
                <w:szCs w:val="24"/>
              </w:rPr>
              <w:t>Maksymalny koszt przerwy obiadowej to 44 zł/osobę.</w:t>
            </w:r>
          </w:p>
          <w:p w14:paraId="66CF68C3" w14:textId="77777777" w:rsidR="00D765C8" w:rsidRPr="00D765C8" w:rsidRDefault="00D765C8" w:rsidP="00D765C8">
            <w:pPr>
              <w:autoSpaceDE w:val="0"/>
              <w:autoSpaceDN w:val="0"/>
              <w:adjustRightInd w:val="0"/>
              <w:spacing w:after="0" w:line="240" w:lineRule="auto"/>
              <w:rPr>
                <w:rFonts w:ascii="Calibri" w:hAnsi="Calibri" w:cs="Calibri"/>
                <w:b/>
                <w:bCs/>
                <w:color w:val="000000"/>
              </w:rPr>
            </w:pPr>
            <w:r w:rsidRPr="00D765C8">
              <w:rPr>
                <w:rFonts w:ascii="Calibri" w:hAnsi="Calibri" w:cs="Calibri"/>
                <w:bCs/>
                <w:color w:val="000000"/>
              </w:rPr>
              <w:t>Możliwość kwalifikowania wydatku jest ograniczona do projektów, w których wsparcie dla tej samej grupy osób w danym dniu trwa nie krócej niż 6 godzin. Zakres: obejmuje dwa dania (zupa i drugie danie), przy czym istnieje możliwość szerszego zakresu usługi, o ile mieści się w określonej cenie rynkowej. Cena rynkowa powinna być uzależniona od rodzaju oferowanej usługi i jest niższa, jeśli finansowany jest mniejszy zakres usługi (np. obiad składający się tylko z drugiego dania).</w:t>
            </w:r>
          </w:p>
        </w:tc>
      </w:tr>
      <w:tr w:rsidR="00D765C8" w:rsidRPr="00D765C8" w14:paraId="0B25AE6A" w14:textId="77777777" w:rsidTr="00247EF6">
        <w:tc>
          <w:tcPr>
            <w:tcW w:w="9611" w:type="dxa"/>
            <w:gridSpan w:val="4"/>
            <w:shd w:val="clear" w:color="auto" w:fill="F2F2F2" w:themeFill="background1" w:themeFillShade="F2"/>
          </w:tcPr>
          <w:p w14:paraId="2D28A3EE" w14:textId="77777777" w:rsidR="00D765C8" w:rsidRPr="00D765C8" w:rsidRDefault="00D765C8" w:rsidP="00D765C8">
            <w:pPr>
              <w:tabs>
                <w:tab w:val="left" w:pos="2985"/>
              </w:tabs>
              <w:spacing w:after="0" w:line="240" w:lineRule="auto"/>
            </w:pPr>
            <w:r w:rsidRPr="00D765C8">
              <w:rPr>
                <w:rFonts w:cs="Arial"/>
                <w:b/>
                <w:noProof/>
              </w:rPr>
              <w:t>Instrumenty aktywizacji zawodowej</w:t>
            </w:r>
          </w:p>
        </w:tc>
      </w:tr>
      <w:tr w:rsidR="00D765C8" w:rsidRPr="00D765C8" w14:paraId="1B77F362" w14:textId="77777777" w:rsidTr="00247EF6">
        <w:tc>
          <w:tcPr>
            <w:tcW w:w="456" w:type="dxa"/>
          </w:tcPr>
          <w:p w14:paraId="3FA0E0E4" w14:textId="77777777" w:rsidR="00D765C8" w:rsidRPr="00D765C8" w:rsidRDefault="00D765C8" w:rsidP="00D765C8">
            <w:pPr>
              <w:spacing w:after="0" w:line="240" w:lineRule="auto"/>
              <w:jc w:val="both"/>
            </w:pPr>
            <w:r w:rsidRPr="00D765C8">
              <w:t>1</w:t>
            </w:r>
          </w:p>
        </w:tc>
        <w:tc>
          <w:tcPr>
            <w:tcW w:w="1642" w:type="dxa"/>
          </w:tcPr>
          <w:p w14:paraId="19E05024" w14:textId="77777777" w:rsidR="00D765C8" w:rsidRPr="00D765C8" w:rsidRDefault="00D765C8" w:rsidP="00D765C8">
            <w:pPr>
              <w:spacing w:after="0" w:line="240" w:lineRule="auto"/>
              <w:jc w:val="both"/>
            </w:pPr>
            <w:r w:rsidRPr="00D765C8">
              <w:t xml:space="preserve">Stypendium stażowe </w:t>
            </w:r>
          </w:p>
        </w:tc>
        <w:tc>
          <w:tcPr>
            <w:tcW w:w="1701" w:type="dxa"/>
          </w:tcPr>
          <w:p w14:paraId="4D6F293A" w14:textId="3708F5F8" w:rsidR="00D765C8" w:rsidRPr="00D765C8" w:rsidRDefault="00D765C8" w:rsidP="00D765C8">
            <w:pPr>
              <w:spacing w:after="0" w:line="240" w:lineRule="auto"/>
              <w:jc w:val="both"/>
            </w:pPr>
            <w:r w:rsidRPr="00D765C8">
              <w:t>1033,</w:t>
            </w:r>
            <w:r w:rsidR="00206F1B">
              <w:t>70</w:t>
            </w:r>
            <w:r w:rsidRPr="00D765C8">
              <w:t xml:space="preserve"> zł/osobomiesiąc – co najmniej 160 godzin stażu</w:t>
            </w:r>
          </w:p>
        </w:tc>
        <w:tc>
          <w:tcPr>
            <w:tcW w:w="5812" w:type="dxa"/>
          </w:tcPr>
          <w:p w14:paraId="3C8D8018" w14:textId="77777777" w:rsidR="00D765C8" w:rsidRPr="00D765C8" w:rsidRDefault="00D765C8" w:rsidP="00D765C8">
            <w:pPr>
              <w:spacing w:after="0" w:line="240" w:lineRule="auto"/>
            </w:pPr>
            <w:r w:rsidRPr="00D765C8">
              <w:t xml:space="preserve">Koszt uzależniony od miejsca stażu oraz niezbędnych do ponoszenia kosztów, przy czym </w:t>
            </w:r>
            <w:r w:rsidRPr="00D765C8">
              <w:rPr>
                <w:bCs/>
              </w:rPr>
              <w:t>o</w:t>
            </w:r>
            <w:r w:rsidRPr="00D765C8">
              <w:rPr>
                <w:rFonts w:cs="NimbusSanL-Regu"/>
                <w:lang w:eastAsia="pl-PL"/>
              </w:rPr>
              <w:t xml:space="preserve">sobom uczestniczącym w stażu przysługuje stypendium stażowe, które miesięcznie </w:t>
            </w:r>
            <w:r w:rsidRPr="00D765C8">
              <w:rPr>
                <w:rFonts w:cs="NimbusSanL-Regu"/>
                <w:lang w:eastAsia="pl-PL"/>
              </w:rPr>
              <w:lastRenderedPageBreak/>
              <w:t>wynosi 120% zasiłku</w:t>
            </w:r>
            <w:r w:rsidRPr="00D765C8">
              <w:rPr>
                <w:rFonts w:cs="NimbusSanL-Regu"/>
                <w:vertAlign w:val="superscript"/>
                <w:lang w:eastAsia="pl-PL"/>
              </w:rPr>
              <w:footnoteReference w:id="1"/>
            </w:r>
            <w:r w:rsidRPr="00D765C8">
              <w:rPr>
                <w:rFonts w:cs="NimbusSanL-Regu"/>
                <w:lang w:eastAsia="pl-PL"/>
              </w:rPr>
              <w:t>, o którym mowa w art. 72 ust. 1 pkt 1 ustawy o promocji zatrudnienia i instytucjach rynku pracy</w:t>
            </w:r>
            <w:r w:rsidRPr="00D765C8">
              <w:rPr>
                <w:rFonts w:cs="NimbusSanL-Regu"/>
                <w:vertAlign w:val="superscript"/>
                <w:lang w:eastAsia="pl-PL"/>
              </w:rPr>
              <w:footnoteReference w:id="2"/>
            </w:r>
            <w:r w:rsidRPr="00D765C8">
              <w:rPr>
                <w:rFonts w:cs="NimbusSanL-Regu"/>
                <w:lang w:eastAsia="pl-PL"/>
              </w:rPr>
              <w:t>, jeżeli miesięczna liczba godzin stażu wynosi co najmniej 160</w:t>
            </w:r>
            <w:r w:rsidRPr="00D765C8">
              <w:rPr>
                <w:rFonts w:cs="NimbusSanL-Regu"/>
                <w:vertAlign w:val="superscript"/>
                <w:lang w:eastAsia="pl-PL"/>
              </w:rPr>
              <w:footnoteReference w:id="3"/>
            </w:r>
            <w:r w:rsidRPr="00D765C8">
              <w:rPr>
                <w:rFonts w:cs="NimbusSanL-Regu"/>
                <w:lang w:eastAsia="pl-PL"/>
              </w:rPr>
              <w:t xml:space="preserve"> godzin; w przypadku niższego miesięcznego wymiaru godzin, wysokość stypendium ustala się proporcjonalnie. Kwalifikowalne są ponadto składki na ubezpieczenie społeczne w wysokości: emerytalna- 201,77 zł, rentowa- 82,69, wypadkowa- zgodna ze stawką obowiązującą dla podmiotu ubiegającego się o dofinansowanie.</w:t>
            </w:r>
          </w:p>
        </w:tc>
      </w:tr>
      <w:tr w:rsidR="00D765C8" w:rsidRPr="00D765C8" w14:paraId="2A22473C" w14:textId="77777777" w:rsidTr="00247EF6">
        <w:tc>
          <w:tcPr>
            <w:tcW w:w="456" w:type="dxa"/>
          </w:tcPr>
          <w:p w14:paraId="63C0C832" w14:textId="77777777" w:rsidR="00D765C8" w:rsidRPr="00D765C8" w:rsidRDefault="00D765C8" w:rsidP="00D765C8">
            <w:pPr>
              <w:spacing w:after="0" w:line="240" w:lineRule="auto"/>
              <w:jc w:val="both"/>
            </w:pPr>
            <w:r w:rsidRPr="00D765C8">
              <w:lastRenderedPageBreak/>
              <w:t>2</w:t>
            </w:r>
          </w:p>
        </w:tc>
        <w:tc>
          <w:tcPr>
            <w:tcW w:w="1642" w:type="dxa"/>
          </w:tcPr>
          <w:p w14:paraId="75CD1EF2" w14:textId="77777777" w:rsidR="00D765C8" w:rsidRPr="00D765C8" w:rsidRDefault="00D765C8" w:rsidP="00D765C8">
            <w:pPr>
              <w:spacing w:after="0" w:line="240" w:lineRule="auto"/>
              <w:jc w:val="both"/>
            </w:pPr>
            <w:r w:rsidRPr="00D765C8">
              <w:t>Stypendium szkoleniowe</w:t>
            </w:r>
          </w:p>
        </w:tc>
        <w:tc>
          <w:tcPr>
            <w:tcW w:w="1701" w:type="dxa"/>
          </w:tcPr>
          <w:p w14:paraId="5929229F" w14:textId="071E0CC1" w:rsidR="00D765C8" w:rsidRPr="00D765C8" w:rsidRDefault="00D765C8" w:rsidP="00D765C8">
            <w:pPr>
              <w:spacing w:after="0" w:line="240" w:lineRule="auto"/>
              <w:jc w:val="both"/>
            </w:pPr>
            <w:r w:rsidRPr="00D765C8">
              <w:t>1033,</w:t>
            </w:r>
            <w:r w:rsidR="00206F1B">
              <w:t>70</w:t>
            </w:r>
            <w:r w:rsidRPr="00D765C8">
              <w:t xml:space="preserve"> zł/osobomiesiąc – co najmniej 150 godzin szkolenia</w:t>
            </w:r>
          </w:p>
        </w:tc>
        <w:tc>
          <w:tcPr>
            <w:tcW w:w="5812" w:type="dxa"/>
          </w:tcPr>
          <w:p w14:paraId="1A221F95" w14:textId="77777777" w:rsidR="00D765C8" w:rsidRPr="00D765C8" w:rsidRDefault="00D765C8" w:rsidP="00D765C8">
            <w:pPr>
              <w:spacing w:after="0" w:line="240" w:lineRule="auto"/>
            </w:pPr>
            <w:r w:rsidRPr="00D765C8">
              <w:rPr>
                <w:bCs/>
              </w:rPr>
              <w:t>O</w:t>
            </w:r>
            <w:r w:rsidRPr="00D765C8">
              <w:rPr>
                <w:rFonts w:cs="NimbusSanL-Regu"/>
                <w:lang w:eastAsia="pl-PL"/>
              </w:rPr>
              <w:t>sobom uczestniczącym w szkoleniu przysługuje stypendium szkoleniowe</w:t>
            </w:r>
            <w:r w:rsidRPr="00D765C8">
              <w:rPr>
                <w:rFonts w:cs="NimbusSanL-Regu"/>
                <w:vertAlign w:val="superscript"/>
                <w:lang w:eastAsia="pl-PL"/>
              </w:rPr>
              <w:footnoteReference w:id="4"/>
            </w:r>
            <w:r w:rsidRPr="00D765C8">
              <w:rPr>
                <w:rFonts w:cs="NimbusSanL-Regu"/>
                <w:lang w:eastAsia="pl-PL"/>
              </w:rPr>
              <w:t>, które miesięcznie wynosi 120% zasiłku</w:t>
            </w:r>
            <w:r w:rsidRPr="00D765C8">
              <w:rPr>
                <w:rFonts w:cs="NimbusSanL-Regu"/>
                <w:vertAlign w:val="superscript"/>
                <w:lang w:eastAsia="pl-PL"/>
              </w:rPr>
              <w:footnoteReference w:id="5"/>
            </w:r>
            <w:r w:rsidRPr="00D765C8">
              <w:rPr>
                <w:rFonts w:cs="NimbusSanL-Regu"/>
                <w:lang w:eastAsia="pl-PL"/>
              </w:rPr>
              <w:t>, o którym mowa w art. 72 ust. 1 pkt 1 ustawy o promocji zatrudnienia i instytucjach rynku pracy</w:t>
            </w:r>
            <w:r w:rsidRPr="00D765C8">
              <w:rPr>
                <w:rFonts w:cs="NimbusSanL-Regu"/>
                <w:vertAlign w:val="superscript"/>
                <w:lang w:eastAsia="pl-PL"/>
              </w:rPr>
              <w:footnoteReference w:id="6"/>
            </w:r>
            <w:r w:rsidRPr="00D765C8">
              <w:rPr>
                <w:rFonts w:cs="NimbusSanL-Regu"/>
                <w:lang w:eastAsia="pl-PL"/>
              </w:rPr>
              <w:t>, jeżeli miesięczna liczba godzin szkolenia wynosi co najmniej 150 godzin; w przypadku niższej miesięcznej liczby godzin szkolenia, wysokość stypendium szkoleniowego ustala się proporcjonalnie, z tym, że stypendium to nie może być niższe niż 20% zasiłku, o którym mowa w art. 72 ust. 1 pkt 1 ustawy o promocji zatrudnienia i instytucjach rynku pracy. Kwalifikowalne są ponadto składki na ubezpieczenie społeczne w wysokości: emerytalna -201,77 zł, rentowa- 82,69, wypadkowa- zgodna ze stawką obowiązującą dla podmiotu ubiegającego się o dofinansowanie.</w:t>
            </w:r>
          </w:p>
        </w:tc>
      </w:tr>
      <w:tr w:rsidR="00D765C8" w:rsidRPr="00D765C8" w14:paraId="0A19F27F" w14:textId="77777777" w:rsidTr="00247EF6">
        <w:tc>
          <w:tcPr>
            <w:tcW w:w="9611" w:type="dxa"/>
            <w:gridSpan w:val="4"/>
            <w:shd w:val="clear" w:color="auto" w:fill="F2F2F2" w:themeFill="background1" w:themeFillShade="F2"/>
          </w:tcPr>
          <w:p w14:paraId="001393CE" w14:textId="77777777" w:rsidR="00D765C8" w:rsidRPr="00D765C8" w:rsidRDefault="00D765C8" w:rsidP="00D765C8">
            <w:pPr>
              <w:spacing w:after="0" w:line="240" w:lineRule="auto"/>
            </w:pPr>
            <w:r w:rsidRPr="00D765C8">
              <w:rPr>
                <w:rFonts w:cs="Arial"/>
                <w:b/>
                <w:noProof/>
              </w:rPr>
              <w:t>Instrumenty aktywizacji społecznej</w:t>
            </w:r>
          </w:p>
        </w:tc>
      </w:tr>
      <w:tr w:rsidR="00D765C8" w:rsidRPr="00D765C8" w14:paraId="30073A10" w14:textId="77777777" w:rsidTr="00247EF6">
        <w:tc>
          <w:tcPr>
            <w:tcW w:w="456" w:type="dxa"/>
          </w:tcPr>
          <w:p w14:paraId="2078AF82" w14:textId="77777777" w:rsidR="00D765C8" w:rsidRPr="00D765C8" w:rsidRDefault="00D765C8" w:rsidP="00D765C8">
            <w:pPr>
              <w:spacing w:after="0" w:line="240" w:lineRule="auto"/>
              <w:jc w:val="both"/>
            </w:pPr>
            <w:r w:rsidRPr="00D765C8">
              <w:t>1</w:t>
            </w:r>
          </w:p>
        </w:tc>
        <w:tc>
          <w:tcPr>
            <w:tcW w:w="1642" w:type="dxa"/>
          </w:tcPr>
          <w:p w14:paraId="50F1C64A" w14:textId="77777777" w:rsidR="00D765C8" w:rsidRPr="00D765C8" w:rsidRDefault="00D765C8" w:rsidP="00D765C8">
            <w:pPr>
              <w:spacing w:after="0" w:line="240" w:lineRule="auto"/>
              <w:jc w:val="both"/>
            </w:pPr>
            <w:r w:rsidRPr="00D765C8">
              <w:t>Zasiłki</w:t>
            </w:r>
          </w:p>
        </w:tc>
        <w:tc>
          <w:tcPr>
            <w:tcW w:w="1701" w:type="dxa"/>
          </w:tcPr>
          <w:p w14:paraId="6650F81F" w14:textId="77777777" w:rsidR="00D765C8" w:rsidRPr="00D765C8" w:rsidRDefault="00D765C8" w:rsidP="00D765C8">
            <w:pPr>
              <w:spacing w:after="0" w:line="240" w:lineRule="auto"/>
              <w:jc w:val="center"/>
            </w:pPr>
            <w:r w:rsidRPr="00D765C8">
              <w:t>-</w:t>
            </w:r>
          </w:p>
        </w:tc>
        <w:tc>
          <w:tcPr>
            <w:tcW w:w="5812" w:type="dxa"/>
          </w:tcPr>
          <w:p w14:paraId="4B4BA509" w14:textId="77777777" w:rsidR="00D765C8" w:rsidRPr="00D765C8" w:rsidRDefault="00D765C8" w:rsidP="00D765C8">
            <w:pPr>
              <w:spacing w:after="0" w:line="240" w:lineRule="auto"/>
            </w:pPr>
            <w:r w:rsidRPr="00D765C8">
              <w:t>Wypłacane zgodnie z ustawą o pomocy społecznej oraz powiązane z celem i zakresem projektu.</w:t>
            </w:r>
          </w:p>
        </w:tc>
      </w:tr>
    </w:tbl>
    <w:p w14:paraId="204B51F4" w14:textId="77777777" w:rsidR="00D765C8" w:rsidRPr="00D765C8" w:rsidRDefault="00D765C8" w:rsidP="00D765C8">
      <w:pPr>
        <w:jc w:val="both"/>
      </w:pPr>
    </w:p>
    <w:p w14:paraId="0493C4D4" w14:textId="77777777" w:rsidR="00D765C8" w:rsidRPr="00D765C8" w:rsidRDefault="00D765C8" w:rsidP="00D765C8">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rPr>
      </w:pPr>
      <w:r w:rsidRPr="00D765C8">
        <w:rPr>
          <w:b/>
        </w:rPr>
        <w:t>Zalecenia odnośnie do zasad konstruowania budżetu szczegółowego projektu.</w:t>
      </w:r>
    </w:p>
    <w:p w14:paraId="33F29B8F" w14:textId="77777777" w:rsidR="00D765C8" w:rsidRPr="00D765C8" w:rsidRDefault="00D765C8" w:rsidP="00D765C8">
      <w:pPr>
        <w:spacing w:after="0"/>
      </w:pPr>
      <w:r w:rsidRPr="00D765C8">
        <w:rPr>
          <w:b/>
        </w:rPr>
        <w:t>IZ RPO WK-P zaleca, aby wydatki w budżecie szczegółowym ujmować w tożsamych kategoriach zbiorczych, tzn. jako osobnych pozycji budżetowych nie ujmować wydatków, które można uwzględnić w budżecie w ramach wydatku o charakterze zbiorczym.</w:t>
      </w:r>
      <w:r w:rsidRPr="00D765C8">
        <w:t xml:space="preserve"> Dotyczy to np. materiałów na potrzeby realizacji zajęć, drobnego sprzętu.</w:t>
      </w:r>
    </w:p>
    <w:p w14:paraId="7D468CAB" w14:textId="77777777" w:rsidR="00D765C8" w:rsidRPr="00D765C8" w:rsidRDefault="00D765C8" w:rsidP="00D765C8">
      <w:pPr>
        <w:spacing w:after="0"/>
      </w:pPr>
    </w:p>
    <w:p w14:paraId="168F8684" w14:textId="77777777" w:rsidR="00D765C8" w:rsidRPr="00D765C8" w:rsidRDefault="00D765C8" w:rsidP="00D765C8">
      <w:pPr>
        <w:spacing w:after="0"/>
      </w:pPr>
      <w:r w:rsidRPr="00D765C8">
        <w:rPr>
          <w:b/>
        </w:rPr>
        <w:t>W uzasadnieniu kosztów specyficznych należy podać, co wchodzi w skład zestawu. Co do zasady</w:t>
      </w:r>
      <w:r w:rsidRPr="00D765C8">
        <w:t xml:space="preserve"> w przypadku zestawów o niewielkiej wartości (obejmujących np. teczki, notesy, pendrive itd.)  wystarczające jest wskazanie elementów wchodzących w skład zestawu. W przypadku zestawów o większej wartości i zestawów, w których ocena racjonalności jedynie na podstawie określenia </w:t>
      </w:r>
      <w:r w:rsidRPr="00D765C8">
        <w:lastRenderedPageBreak/>
        <w:t>elementów składowych może być utrudniona, w uzasadnieniu należy wskazać również ceny jednostkowe, np. w gdy w skład zestawu wchodzą elementy, których ceny jednostkowe nie są publicznie dostępne lub gdy istnieją wątpliwości co do sposobu kalkulacji wydatku. Przykład:</w:t>
      </w:r>
    </w:p>
    <w:p w14:paraId="1B283C50" w14:textId="77777777" w:rsidR="00D765C8" w:rsidRPr="00D765C8" w:rsidRDefault="00D765C8" w:rsidP="00D765C8">
      <w:pPr>
        <w:spacing w:after="0"/>
        <w:jc w:val="both"/>
      </w:pPr>
    </w:p>
    <w:tbl>
      <w:tblPr>
        <w:tblStyle w:val="Tabela-Siatka"/>
        <w:tblW w:w="0" w:type="auto"/>
        <w:tblLook w:val="04A0" w:firstRow="1" w:lastRow="0" w:firstColumn="1" w:lastColumn="0" w:noHBand="0" w:noVBand="1"/>
      </w:tblPr>
      <w:tblGrid>
        <w:gridCol w:w="1797"/>
        <w:gridCol w:w="7265"/>
      </w:tblGrid>
      <w:tr w:rsidR="00D765C8" w:rsidRPr="00D765C8" w14:paraId="4B1CEDEC" w14:textId="77777777" w:rsidTr="00247EF6">
        <w:tc>
          <w:tcPr>
            <w:tcW w:w="1797" w:type="dxa"/>
            <w:shd w:val="clear" w:color="auto" w:fill="D9D9D9" w:themeFill="background1" w:themeFillShade="D9"/>
          </w:tcPr>
          <w:p w14:paraId="719E920A" w14:textId="77777777" w:rsidR="00D765C8" w:rsidRPr="00D765C8" w:rsidRDefault="00D765C8" w:rsidP="00D765C8">
            <w:pPr>
              <w:spacing w:after="200" w:line="276" w:lineRule="auto"/>
              <w:rPr>
                <w:sz w:val="20"/>
                <w:szCs w:val="20"/>
              </w:rPr>
            </w:pPr>
            <w:r w:rsidRPr="00D765C8">
              <w:rPr>
                <w:sz w:val="20"/>
                <w:szCs w:val="20"/>
              </w:rPr>
              <w:t>Nr poz. budżetowej</w:t>
            </w:r>
          </w:p>
        </w:tc>
        <w:tc>
          <w:tcPr>
            <w:tcW w:w="7265" w:type="dxa"/>
            <w:shd w:val="clear" w:color="auto" w:fill="D9D9D9" w:themeFill="background1" w:themeFillShade="D9"/>
          </w:tcPr>
          <w:p w14:paraId="6B5586B0" w14:textId="77777777" w:rsidR="00D765C8" w:rsidRPr="00D765C8" w:rsidRDefault="00D765C8" w:rsidP="00D765C8">
            <w:pPr>
              <w:autoSpaceDE w:val="0"/>
              <w:autoSpaceDN w:val="0"/>
              <w:adjustRightInd w:val="0"/>
              <w:jc w:val="both"/>
              <w:rPr>
                <w:rFonts w:ascii="Calibri" w:hAnsi="Calibri" w:cs="Calibri"/>
                <w:color w:val="000000"/>
              </w:rPr>
            </w:pPr>
            <w:r w:rsidRPr="00D765C8">
              <w:rPr>
                <w:rFonts w:ascii="Calibri" w:hAnsi="Calibri" w:cs="Calibri"/>
                <w:color w:val="000000"/>
              </w:rPr>
              <w:t>2 - Materiały szkoleniowe na warsztaty kompetencji interpersonalnych</w:t>
            </w:r>
          </w:p>
        </w:tc>
      </w:tr>
      <w:tr w:rsidR="00D765C8" w:rsidRPr="00D765C8" w14:paraId="3C8E5501" w14:textId="77777777" w:rsidTr="00247EF6">
        <w:trPr>
          <w:trHeight w:val="667"/>
        </w:trPr>
        <w:tc>
          <w:tcPr>
            <w:tcW w:w="1797" w:type="dxa"/>
            <w:shd w:val="clear" w:color="auto" w:fill="D9D9D9" w:themeFill="background1" w:themeFillShade="D9"/>
          </w:tcPr>
          <w:p w14:paraId="2FE04470" w14:textId="77777777" w:rsidR="00D765C8" w:rsidRPr="00D765C8" w:rsidRDefault="00D765C8" w:rsidP="00D765C8">
            <w:pPr>
              <w:spacing w:after="200" w:line="276" w:lineRule="auto"/>
              <w:jc w:val="both"/>
              <w:rPr>
                <w:sz w:val="20"/>
                <w:szCs w:val="20"/>
              </w:rPr>
            </w:pPr>
            <w:r w:rsidRPr="00D765C8">
              <w:rPr>
                <w:sz w:val="20"/>
                <w:szCs w:val="20"/>
              </w:rPr>
              <w:t>Uzasadnienie</w:t>
            </w:r>
          </w:p>
        </w:tc>
        <w:tc>
          <w:tcPr>
            <w:tcW w:w="7265" w:type="dxa"/>
          </w:tcPr>
          <w:p w14:paraId="49AE3E06" w14:textId="77777777" w:rsidR="00D765C8" w:rsidRPr="00D765C8" w:rsidRDefault="00D765C8" w:rsidP="00D765C8">
            <w:pPr>
              <w:autoSpaceDE w:val="0"/>
              <w:autoSpaceDN w:val="0"/>
              <w:adjustRightInd w:val="0"/>
              <w:rPr>
                <w:rFonts w:ascii="Calibri" w:hAnsi="Calibri" w:cs="Calibri"/>
                <w:color w:val="000000"/>
              </w:rPr>
            </w:pPr>
            <w:r w:rsidRPr="00D765C8">
              <w:rPr>
                <w:rFonts w:ascii="Calibri" w:hAnsi="Calibri" w:cs="Calibri"/>
                <w:color w:val="000000"/>
              </w:rPr>
              <w:t xml:space="preserve">W skład zestawu wchodzą: kartki papieru, flamastry, karteczki samoprzylepne, taśma klejąca, nożyczki, filmy instruktarzowe, materiały dla uczestników: skrypt na pendrive, pakiety ćwiczeń. Szacunkowy koszt materiałów przypadający na osobę to 50 zł podczas 30 godzin warsztatów. Koszt na osobę oszacowany na podstawie dotychczasowego doświadczenia wnioskodawcy w realizacji podobnych zajęć. </w:t>
            </w:r>
          </w:p>
        </w:tc>
      </w:tr>
    </w:tbl>
    <w:p w14:paraId="3B5FE5A0" w14:textId="77777777" w:rsidR="00D765C8" w:rsidRPr="00D765C8" w:rsidRDefault="00D765C8" w:rsidP="00D765C8">
      <w:pPr>
        <w:jc w:val="both"/>
        <w:rPr>
          <w:rFonts w:cs="Arial"/>
          <w:bCs/>
        </w:rPr>
      </w:pPr>
    </w:p>
    <w:tbl>
      <w:tblPr>
        <w:tblStyle w:val="Tabela-Siatka"/>
        <w:tblW w:w="0" w:type="auto"/>
        <w:tblLook w:val="04A0" w:firstRow="1" w:lastRow="0" w:firstColumn="1" w:lastColumn="0" w:noHBand="0" w:noVBand="1"/>
      </w:tblPr>
      <w:tblGrid>
        <w:gridCol w:w="9062"/>
      </w:tblGrid>
      <w:tr w:rsidR="00D765C8" w:rsidRPr="00D765C8" w14:paraId="31662A41" w14:textId="77777777" w:rsidTr="00247EF6">
        <w:tc>
          <w:tcPr>
            <w:tcW w:w="9062" w:type="dxa"/>
            <w:shd w:val="clear" w:color="auto" w:fill="BFBFBF" w:themeFill="background1" w:themeFillShade="BF"/>
          </w:tcPr>
          <w:p w14:paraId="68F8F1EE" w14:textId="77777777" w:rsidR="00D765C8" w:rsidRPr="00D765C8" w:rsidRDefault="00D765C8" w:rsidP="00D765C8">
            <w:pPr>
              <w:spacing w:after="200" w:line="276" w:lineRule="auto"/>
              <w:jc w:val="both"/>
              <w:rPr>
                <w:b/>
              </w:rPr>
            </w:pPr>
            <w:r w:rsidRPr="00D765C8">
              <w:rPr>
                <w:b/>
              </w:rPr>
              <w:t>Zalecenia dotyczące zakresu niezbędnych informacji uzasadniających dany koszt</w:t>
            </w:r>
          </w:p>
        </w:tc>
      </w:tr>
    </w:tbl>
    <w:p w14:paraId="376FBD94" w14:textId="77777777" w:rsidR="00D765C8" w:rsidRPr="00D765C8" w:rsidRDefault="00D765C8" w:rsidP="00D765C8">
      <w:pPr>
        <w:spacing w:after="0"/>
        <w:jc w:val="both"/>
        <w:rPr>
          <w:rFonts w:cs="Arial"/>
          <w:bCs/>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3"/>
        <w:gridCol w:w="6549"/>
      </w:tblGrid>
      <w:tr w:rsidR="00D765C8" w:rsidRPr="00D765C8" w14:paraId="6C662CF8" w14:textId="77777777" w:rsidTr="00247EF6">
        <w:trPr>
          <w:trHeight w:val="414"/>
        </w:trPr>
        <w:tc>
          <w:tcPr>
            <w:tcW w:w="2523" w:type="dxa"/>
            <w:shd w:val="clear" w:color="auto" w:fill="D9D9D9"/>
          </w:tcPr>
          <w:p w14:paraId="54C8B8EC" w14:textId="77777777" w:rsidR="00D765C8" w:rsidRPr="00D765C8" w:rsidRDefault="00D765C8" w:rsidP="00D765C8">
            <w:pPr>
              <w:autoSpaceDE w:val="0"/>
              <w:autoSpaceDN w:val="0"/>
              <w:adjustRightInd w:val="0"/>
              <w:spacing w:after="0" w:line="240" w:lineRule="auto"/>
              <w:ind w:right="-108"/>
              <w:jc w:val="center"/>
              <w:rPr>
                <w:rFonts w:ascii="Calibri" w:hAnsi="Calibri" w:cs="Calibri"/>
                <w:b/>
                <w:color w:val="000000"/>
              </w:rPr>
            </w:pPr>
            <w:r w:rsidRPr="00D765C8">
              <w:rPr>
                <w:rFonts w:ascii="Calibri" w:hAnsi="Calibri" w:cs="Calibri"/>
                <w:b/>
                <w:color w:val="000000"/>
              </w:rPr>
              <w:t xml:space="preserve">Staż </w:t>
            </w:r>
          </w:p>
        </w:tc>
        <w:tc>
          <w:tcPr>
            <w:tcW w:w="6549" w:type="dxa"/>
          </w:tcPr>
          <w:p w14:paraId="336B0DA0"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W przypadku tego rodzaju kosztu w uzasadnieniu pod budżetem należy wskazać informacje nt.:</w:t>
            </w:r>
          </w:p>
          <w:p w14:paraId="2CF68F70"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liczby osób skierowanych na staż;</w:t>
            </w:r>
          </w:p>
          <w:p w14:paraId="09E98D23"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liczby miesięcy stażu;</w:t>
            </w:r>
          </w:p>
          <w:p w14:paraId="5FD83C33" w14:textId="77777777" w:rsidR="00D765C8" w:rsidRPr="00D765C8" w:rsidRDefault="00D765C8" w:rsidP="00D765C8">
            <w:pPr>
              <w:autoSpaceDE w:val="0"/>
              <w:autoSpaceDN w:val="0"/>
              <w:adjustRightInd w:val="0"/>
              <w:spacing w:after="0" w:line="240" w:lineRule="auto"/>
              <w:jc w:val="both"/>
              <w:rPr>
                <w:rFonts w:ascii="Calibri" w:hAnsi="Calibri" w:cs="NimbusSanL-Regu"/>
                <w:color w:val="000000"/>
                <w:sz w:val="24"/>
                <w:szCs w:val="24"/>
                <w:lang w:eastAsia="pl-PL"/>
              </w:rPr>
            </w:pPr>
            <w:r w:rsidRPr="00D765C8">
              <w:rPr>
                <w:rFonts w:ascii="Calibri" w:hAnsi="Calibri" w:cs="Calibri"/>
                <w:bCs/>
                <w:color w:val="000000"/>
              </w:rPr>
              <w:t>- miesięcznego kosztu stypendium stażowego na uczestnika;</w:t>
            </w:r>
          </w:p>
          <w:p w14:paraId="058A4B1F"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kosztu wynagrodzenia opiekuna stażu;</w:t>
            </w:r>
          </w:p>
          <w:p w14:paraId="25708887"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miesięcznego kosztu dojazdu uczestnika na staż;</w:t>
            </w:r>
          </w:p>
          <w:p w14:paraId="69327995"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xml:space="preserve">- kosztu obuwia i odzieży roboczej (maksymalnie); </w:t>
            </w:r>
          </w:p>
          <w:p w14:paraId="506F4177"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kosztu badania lekarskiego/medycyny pracy;</w:t>
            </w:r>
          </w:p>
          <w:p w14:paraId="572F4121"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kosztu ubezpieczenia uczestników;</w:t>
            </w:r>
          </w:p>
          <w:p w14:paraId="4AE27318" w14:textId="77777777" w:rsidR="00D765C8" w:rsidRPr="00D765C8" w:rsidRDefault="00D765C8" w:rsidP="00D765C8">
            <w:pPr>
              <w:autoSpaceDE w:val="0"/>
              <w:autoSpaceDN w:val="0"/>
              <w:adjustRightInd w:val="0"/>
              <w:spacing w:after="0" w:line="240" w:lineRule="auto"/>
              <w:rPr>
                <w:rFonts w:ascii="Calibri" w:hAnsi="Calibri" w:cs="Calibri"/>
                <w:bCs/>
                <w:color w:val="000000"/>
              </w:rPr>
            </w:pPr>
            <w:r w:rsidRPr="00D765C8">
              <w:rPr>
                <w:rFonts w:ascii="Calibri" w:hAnsi="Calibri" w:cs="Calibri"/>
                <w:color w:val="000000"/>
              </w:rPr>
              <w:t>- podstawy oszacowania kosztu (np. doświadczenie w realizacji tego typu wsparcia, rozeznanie rynku).</w:t>
            </w:r>
          </w:p>
        </w:tc>
      </w:tr>
      <w:tr w:rsidR="00D765C8" w:rsidRPr="00D765C8" w14:paraId="57814138" w14:textId="77777777" w:rsidTr="00247EF6">
        <w:trPr>
          <w:trHeight w:val="414"/>
        </w:trPr>
        <w:tc>
          <w:tcPr>
            <w:tcW w:w="2523" w:type="dxa"/>
            <w:shd w:val="clear" w:color="auto" w:fill="D9D9D9"/>
          </w:tcPr>
          <w:p w14:paraId="26D80A5A" w14:textId="77777777" w:rsidR="00D765C8" w:rsidRPr="00D765C8" w:rsidRDefault="00D765C8" w:rsidP="00D765C8">
            <w:pPr>
              <w:autoSpaceDE w:val="0"/>
              <w:autoSpaceDN w:val="0"/>
              <w:adjustRightInd w:val="0"/>
              <w:spacing w:after="0" w:line="240" w:lineRule="auto"/>
              <w:ind w:right="-108"/>
              <w:jc w:val="center"/>
              <w:rPr>
                <w:rFonts w:ascii="Calibri" w:hAnsi="Calibri" w:cs="Calibri"/>
                <w:b/>
                <w:color w:val="000000"/>
              </w:rPr>
            </w:pPr>
            <w:r w:rsidRPr="00D765C8">
              <w:rPr>
                <w:rFonts w:ascii="Calibri" w:hAnsi="Calibri" w:cs="Calibri"/>
                <w:b/>
                <w:color w:val="000000"/>
              </w:rPr>
              <w:t>Szkolenia zawodowe</w:t>
            </w:r>
          </w:p>
        </w:tc>
        <w:tc>
          <w:tcPr>
            <w:tcW w:w="6549" w:type="dxa"/>
          </w:tcPr>
          <w:p w14:paraId="4911D3AB"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W przypadku tego rodzaju kosztu w uzasadnieniu pod budżetem należy wskazać informacje nt.:</w:t>
            </w:r>
          </w:p>
          <w:p w14:paraId="4BF23112"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liczby osób skierowanych na szkolenia;</w:t>
            </w:r>
          </w:p>
          <w:p w14:paraId="2551533C"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przewidywanej liczby godzin szkolenia;</w:t>
            </w:r>
          </w:p>
          <w:p w14:paraId="3BF2FA84" w14:textId="77777777" w:rsidR="00D765C8" w:rsidRPr="00D765C8" w:rsidRDefault="00D765C8" w:rsidP="00D765C8">
            <w:pPr>
              <w:autoSpaceDE w:val="0"/>
              <w:autoSpaceDN w:val="0"/>
              <w:adjustRightInd w:val="0"/>
              <w:spacing w:after="0" w:line="240" w:lineRule="auto"/>
              <w:jc w:val="both"/>
              <w:rPr>
                <w:rFonts w:ascii="Calibri" w:hAnsi="Calibri" w:cs="NimbusSanL-Regu"/>
                <w:color w:val="000000"/>
                <w:lang w:eastAsia="pl-PL"/>
              </w:rPr>
            </w:pPr>
            <w:r w:rsidRPr="00D765C8">
              <w:rPr>
                <w:rFonts w:ascii="Calibri" w:hAnsi="Calibri" w:cs="Calibri"/>
                <w:bCs/>
                <w:color w:val="000000"/>
              </w:rPr>
              <w:t>- miesięcznego kosztu stypendium szkoleniowego na uczestnika</w:t>
            </w:r>
            <w:r w:rsidRPr="00D765C8">
              <w:rPr>
                <w:rFonts w:ascii="Calibri" w:hAnsi="Calibri" w:cs="NimbusSanL-Regu"/>
                <w:color w:val="000000"/>
                <w:lang w:eastAsia="pl-PL"/>
              </w:rPr>
              <w:t>;</w:t>
            </w:r>
          </w:p>
          <w:p w14:paraId="73816BFF"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kosztu dojazdu uczestnika na szkolenie;</w:t>
            </w:r>
          </w:p>
          <w:p w14:paraId="471911DE"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rodzaju materiałów szkoleniowych;</w:t>
            </w:r>
          </w:p>
          <w:p w14:paraId="27CF51C9"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color w:val="000000"/>
              </w:rPr>
              <w:t>- podstawy oszacowania kosztu (np. doświadczenie w realizacji tego typu wsparcia, rozeznanie rynku).</w:t>
            </w:r>
          </w:p>
        </w:tc>
      </w:tr>
      <w:tr w:rsidR="00D765C8" w:rsidRPr="00D765C8" w14:paraId="3F0B1D0E" w14:textId="77777777" w:rsidTr="00247EF6">
        <w:trPr>
          <w:trHeight w:val="414"/>
        </w:trPr>
        <w:tc>
          <w:tcPr>
            <w:tcW w:w="2523" w:type="dxa"/>
            <w:shd w:val="clear" w:color="auto" w:fill="D9D9D9"/>
          </w:tcPr>
          <w:p w14:paraId="14AFD9D6" w14:textId="77777777" w:rsidR="00D765C8" w:rsidRPr="00D765C8" w:rsidRDefault="00D765C8" w:rsidP="00D765C8">
            <w:pPr>
              <w:autoSpaceDE w:val="0"/>
              <w:autoSpaceDN w:val="0"/>
              <w:adjustRightInd w:val="0"/>
              <w:spacing w:after="0" w:line="240" w:lineRule="auto"/>
              <w:ind w:right="-108"/>
              <w:jc w:val="center"/>
              <w:rPr>
                <w:rFonts w:ascii="Calibri" w:hAnsi="Calibri" w:cs="Calibri"/>
                <w:b/>
                <w:color w:val="000000"/>
              </w:rPr>
            </w:pPr>
            <w:r w:rsidRPr="00D765C8">
              <w:rPr>
                <w:rFonts w:ascii="Calibri" w:hAnsi="Calibri" w:cs="Calibri"/>
                <w:b/>
                <w:color w:val="000000"/>
              </w:rPr>
              <w:t>Szkolenia/ warsztaty/ spotkania z zakresu instrumentów aktywizacji społecznej</w:t>
            </w:r>
          </w:p>
        </w:tc>
        <w:tc>
          <w:tcPr>
            <w:tcW w:w="6549" w:type="dxa"/>
          </w:tcPr>
          <w:p w14:paraId="3944AE13"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W przypadku tego rodzaju kosztu w uzasadnieniu pod budżetem należy wskazać informacje nt.:</w:t>
            </w:r>
          </w:p>
          <w:p w14:paraId="1AD6E5BF"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rodzaju planowanego instrumentu;</w:t>
            </w:r>
          </w:p>
          <w:p w14:paraId="413897DE" w14:textId="77777777" w:rsidR="00D765C8" w:rsidRPr="00D765C8" w:rsidRDefault="00D765C8" w:rsidP="00D765C8">
            <w:pPr>
              <w:autoSpaceDE w:val="0"/>
              <w:autoSpaceDN w:val="0"/>
              <w:adjustRightInd w:val="0"/>
              <w:spacing w:after="0" w:line="240" w:lineRule="auto"/>
              <w:jc w:val="both"/>
              <w:rPr>
                <w:rFonts w:ascii="Calibri" w:hAnsi="Calibri" w:cs="Calibri"/>
                <w:bCs/>
                <w:i/>
                <w:color w:val="000000"/>
              </w:rPr>
            </w:pPr>
            <w:r w:rsidRPr="00D765C8">
              <w:rPr>
                <w:rFonts w:ascii="Calibri" w:hAnsi="Calibri" w:cs="Calibri"/>
                <w:bCs/>
                <w:i/>
                <w:color w:val="000000"/>
              </w:rPr>
              <w:t xml:space="preserve">- </w:t>
            </w:r>
            <w:r w:rsidRPr="00D765C8">
              <w:rPr>
                <w:rFonts w:ascii="Calibri" w:hAnsi="Calibri" w:cs="Calibri"/>
                <w:bCs/>
                <w:color w:val="000000"/>
              </w:rPr>
              <w:t>przewidywanej liczbę uczestników;</w:t>
            </w:r>
          </w:p>
          <w:p w14:paraId="3327046E" w14:textId="77777777" w:rsidR="00D765C8" w:rsidRPr="00D765C8" w:rsidRDefault="00D765C8" w:rsidP="00D765C8">
            <w:pPr>
              <w:autoSpaceDE w:val="0"/>
              <w:autoSpaceDN w:val="0"/>
              <w:adjustRightInd w:val="0"/>
              <w:spacing w:after="0" w:line="240" w:lineRule="auto"/>
              <w:jc w:val="both"/>
              <w:rPr>
                <w:rFonts w:ascii="Calibri" w:hAnsi="Calibri" w:cs="Calibri"/>
                <w:color w:val="000000"/>
              </w:rPr>
            </w:pPr>
            <w:r w:rsidRPr="00D765C8">
              <w:rPr>
                <w:rFonts w:ascii="Calibri" w:hAnsi="Calibri" w:cs="Calibri"/>
                <w:color w:val="000000"/>
              </w:rPr>
              <w:t>- przewidywanego czasu trwania – liczba godzin (w tym liczbę godzin wsparcia w ciągu dnia);</w:t>
            </w:r>
          </w:p>
          <w:p w14:paraId="7AE1AF32"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color w:val="000000"/>
              </w:rPr>
              <w:t>- podstawy oszacowania kosztu (np. doświadczenie w realizacji tego typu wsparcia oraz przykładowy katalog kosztów z uwzględnieniem kosztów: trenera, cateringu, materiałów szkoleniowych).</w:t>
            </w:r>
          </w:p>
        </w:tc>
      </w:tr>
      <w:tr w:rsidR="00D765C8" w:rsidRPr="00D765C8" w14:paraId="69230C7A" w14:textId="77777777" w:rsidTr="00247EF6">
        <w:trPr>
          <w:trHeight w:val="414"/>
        </w:trPr>
        <w:tc>
          <w:tcPr>
            <w:tcW w:w="2523" w:type="dxa"/>
            <w:shd w:val="clear" w:color="auto" w:fill="D9D9D9"/>
          </w:tcPr>
          <w:p w14:paraId="286680B9" w14:textId="77777777" w:rsidR="00D765C8" w:rsidRPr="00D765C8" w:rsidRDefault="00D765C8" w:rsidP="00D765C8">
            <w:pPr>
              <w:autoSpaceDE w:val="0"/>
              <w:autoSpaceDN w:val="0"/>
              <w:adjustRightInd w:val="0"/>
              <w:spacing w:after="0" w:line="240" w:lineRule="auto"/>
              <w:ind w:right="-108"/>
              <w:jc w:val="center"/>
              <w:rPr>
                <w:rFonts w:ascii="Calibri" w:hAnsi="Calibri" w:cs="Calibri"/>
                <w:b/>
                <w:bCs/>
                <w:color w:val="000000"/>
              </w:rPr>
            </w:pPr>
            <w:r w:rsidRPr="00D765C8">
              <w:rPr>
                <w:rFonts w:ascii="Calibri" w:hAnsi="Calibri" w:cs="Calibri"/>
                <w:b/>
                <w:color w:val="000000"/>
              </w:rPr>
              <w:t>Działania o charakterze środowiskowym</w:t>
            </w:r>
          </w:p>
        </w:tc>
        <w:tc>
          <w:tcPr>
            <w:tcW w:w="6549" w:type="dxa"/>
          </w:tcPr>
          <w:p w14:paraId="7F64FC7D"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W przypadku tego rodzaju kosztu w uzasadnieniu pod budżetem należy wskazać informacje nt.</w:t>
            </w:r>
          </w:p>
          <w:p w14:paraId="60374BF5"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rodzaju planowanego działania, jej cel;</w:t>
            </w:r>
          </w:p>
          <w:p w14:paraId="4469DC48" w14:textId="77777777" w:rsidR="00D765C8" w:rsidRPr="00D765C8" w:rsidRDefault="00D765C8" w:rsidP="00D765C8">
            <w:pPr>
              <w:autoSpaceDE w:val="0"/>
              <w:autoSpaceDN w:val="0"/>
              <w:adjustRightInd w:val="0"/>
              <w:spacing w:after="0" w:line="240" w:lineRule="auto"/>
              <w:jc w:val="both"/>
              <w:rPr>
                <w:rFonts w:ascii="Calibri" w:hAnsi="Calibri" w:cs="Calibri"/>
                <w:bCs/>
                <w:i/>
                <w:color w:val="000000"/>
              </w:rPr>
            </w:pPr>
            <w:r w:rsidRPr="00D765C8">
              <w:rPr>
                <w:rFonts w:ascii="Calibri" w:hAnsi="Calibri" w:cs="Calibri"/>
                <w:bCs/>
                <w:i/>
                <w:color w:val="000000"/>
              </w:rPr>
              <w:lastRenderedPageBreak/>
              <w:t xml:space="preserve">- </w:t>
            </w:r>
            <w:r w:rsidRPr="00D765C8">
              <w:rPr>
                <w:rFonts w:ascii="Calibri" w:hAnsi="Calibri" w:cs="Calibri"/>
                <w:bCs/>
                <w:color w:val="000000"/>
              </w:rPr>
              <w:t>przewidywanej liczby uczestników;</w:t>
            </w:r>
          </w:p>
          <w:p w14:paraId="2C348DAD" w14:textId="77777777" w:rsidR="00D765C8" w:rsidRPr="00D765C8" w:rsidRDefault="00D765C8" w:rsidP="00D765C8">
            <w:pPr>
              <w:autoSpaceDE w:val="0"/>
              <w:autoSpaceDN w:val="0"/>
              <w:adjustRightInd w:val="0"/>
              <w:spacing w:after="0" w:line="240" w:lineRule="auto"/>
              <w:jc w:val="both"/>
              <w:rPr>
                <w:rFonts w:ascii="Calibri" w:hAnsi="Calibri" w:cs="Calibri"/>
                <w:color w:val="000000"/>
              </w:rPr>
            </w:pPr>
            <w:r w:rsidRPr="00D765C8">
              <w:rPr>
                <w:rFonts w:ascii="Calibri" w:hAnsi="Calibri" w:cs="Calibri"/>
                <w:color w:val="000000"/>
              </w:rPr>
              <w:t>- przewidywanego czasu trwania – liczba godzin;</w:t>
            </w:r>
          </w:p>
          <w:p w14:paraId="772BDF51"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color w:val="000000"/>
              </w:rPr>
              <w:t>- podstawy oszacowania kosztu (np. doświadczenie w realizacji tego typu wsparcia oraz przykładowy katalog kosztów z uwzględnieniem kosztów: trenera, cateringu, materiałów).</w:t>
            </w:r>
          </w:p>
        </w:tc>
      </w:tr>
    </w:tbl>
    <w:p w14:paraId="3E37E176" w14:textId="77777777" w:rsidR="00D765C8" w:rsidRDefault="00D765C8" w:rsidP="00D765C8">
      <w:pPr>
        <w:jc w:val="center"/>
        <w:rPr>
          <w:b/>
          <w:u w:val="single"/>
        </w:rPr>
      </w:pPr>
    </w:p>
    <w:p w14:paraId="00A28D73" w14:textId="08FBC817" w:rsidR="00D765C8" w:rsidRPr="00D765C8" w:rsidRDefault="00D765C8" w:rsidP="00D765C8">
      <w:pPr>
        <w:spacing w:after="120"/>
        <w:jc w:val="center"/>
        <w:rPr>
          <w:b/>
        </w:rPr>
      </w:pPr>
      <w:r w:rsidRPr="00D765C8">
        <w:rPr>
          <w:b/>
          <w:u w:val="single"/>
        </w:rPr>
        <w:t>Standard realizacji szkoleń, staży oraz zatrudnienia wspomaganego.</w:t>
      </w:r>
    </w:p>
    <w:p w14:paraId="7719222E" w14:textId="77777777" w:rsidR="00D765C8" w:rsidRPr="00D765C8" w:rsidRDefault="00D765C8" w:rsidP="00D765C8">
      <w:pPr>
        <w:spacing w:after="120"/>
        <w:rPr>
          <w:b/>
        </w:rPr>
      </w:pPr>
      <w:r w:rsidRPr="00D765C8">
        <w:rPr>
          <w:b/>
        </w:rPr>
        <w:t>Szkolenia.</w:t>
      </w:r>
    </w:p>
    <w:p w14:paraId="1A4141C4" w14:textId="77777777" w:rsidR="00D765C8" w:rsidRPr="00D765C8" w:rsidRDefault="00D765C8" w:rsidP="00D765C8">
      <w:pPr>
        <w:numPr>
          <w:ilvl w:val="0"/>
          <w:numId w:val="7"/>
        </w:numPr>
        <w:spacing w:after="120"/>
        <w:contextualSpacing/>
        <w:jc w:val="both"/>
        <w:rPr>
          <w:rFonts w:ascii="Calibri" w:eastAsia="Calibri" w:hAnsi="Calibri" w:cs="Times New Roman"/>
          <w:b/>
          <w:szCs w:val="20"/>
          <w:lang w:eastAsia="pl-PL"/>
        </w:rPr>
      </w:pPr>
      <w:r w:rsidRPr="00D765C8">
        <w:rPr>
          <w:rFonts w:ascii="Calibri" w:eastAsia="Calibri" w:hAnsi="Calibri" w:cs="Times New Roman"/>
          <w:szCs w:val="20"/>
          <w:lang w:eastAsia="pl-PL"/>
        </w:rPr>
        <w:t>Szkolenia są zgodne ze zdiagnozowanymi potrzebami i potencjałem uczestnika projektu oraz zdiagnozowanymi potrzebami rynku pracy.</w:t>
      </w:r>
    </w:p>
    <w:p w14:paraId="5484AF61" w14:textId="77777777" w:rsidR="00D765C8" w:rsidRPr="00D765C8" w:rsidRDefault="00D765C8" w:rsidP="00D765C8">
      <w:pPr>
        <w:numPr>
          <w:ilvl w:val="0"/>
          <w:numId w:val="7"/>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Usługi szkoleniowe są realizowane przez instytucje posiadające wpis do Rejestru Instytucji Szkoleniowych prowadzonego przez Wojewódzki Urząd Pracy właściwy ze względu na siedzibę instytucji szkoleniowej.</w:t>
      </w:r>
    </w:p>
    <w:p w14:paraId="0148F867" w14:textId="77777777" w:rsidR="00D765C8" w:rsidRPr="00D765C8" w:rsidRDefault="00D765C8" w:rsidP="00D765C8">
      <w:pPr>
        <w:numPr>
          <w:ilvl w:val="0"/>
          <w:numId w:val="7"/>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Efektem szkolenia będzie nabycie kwalifikacji lub kompetencji (konkretnych efektów uczenia się uzyskiwanych w toku szkolenia) potwierdzonych odpowiednim dokumentem (np. certyfikatem), który powinien zawierać informacje na temat uzyskanych przez uczestnika efektów uczenia się w rozumieniu Wytycznych w zakresie monitorowania postępu rzeczowego realizacji programów operacyjnych na lata 2014-2020.</w:t>
      </w:r>
    </w:p>
    <w:p w14:paraId="676E4AED" w14:textId="77777777" w:rsidR="00D765C8" w:rsidRPr="00D765C8" w:rsidRDefault="00D765C8" w:rsidP="00D765C8">
      <w:pPr>
        <w:numPr>
          <w:ilvl w:val="0"/>
          <w:numId w:val="7"/>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Nabycie kwalifikacji lub kompetencji w rozumieniu Wytycznych w zakresie monitorowania postępu rzeczowego realizacji programów operacyjnych na lata 2014-2020 jest weryfikowane poprzez przeprowadzenie odpowiedniego ich sprawdzenia (np. w formie egzaminu).</w:t>
      </w:r>
    </w:p>
    <w:p w14:paraId="0D3D5931" w14:textId="77777777" w:rsidR="00D765C8" w:rsidRPr="00D765C8" w:rsidRDefault="00D765C8" w:rsidP="00D765C8">
      <w:pPr>
        <w:numPr>
          <w:ilvl w:val="0"/>
          <w:numId w:val="7"/>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Osobom uczestniczącym w szkoleniach przysługuje stypendium szkoleniowe</w:t>
      </w:r>
      <w:r w:rsidRPr="00D765C8">
        <w:rPr>
          <w:rFonts w:ascii="Calibri" w:eastAsia="Calibri" w:hAnsi="Calibri" w:cs="Times New Roman"/>
          <w:szCs w:val="20"/>
          <w:vertAlign w:val="superscript"/>
          <w:lang w:eastAsia="pl-PL"/>
        </w:rPr>
        <w:footnoteReference w:id="7"/>
      </w:r>
      <w:r w:rsidRPr="00D765C8">
        <w:rPr>
          <w:rFonts w:ascii="Calibri" w:eastAsia="Calibri" w:hAnsi="Calibri" w:cs="Times New Roman"/>
          <w:szCs w:val="20"/>
          <w:lang w:eastAsia="pl-PL"/>
        </w:rPr>
        <w:t>, które miesięcznie wynosi 120% zasiłku</w:t>
      </w:r>
      <w:r w:rsidRPr="00D765C8">
        <w:rPr>
          <w:rFonts w:ascii="Calibri" w:eastAsia="Calibri" w:hAnsi="Calibri" w:cs="Times New Roman"/>
          <w:szCs w:val="20"/>
          <w:vertAlign w:val="superscript"/>
          <w:lang w:eastAsia="pl-PL"/>
        </w:rPr>
        <w:footnoteReference w:id="8"/>
      </w:r>
      <w:r w:rsidRPr="00D765C8">
        <w:rPr>
          <w:rFonts w:ascii="Calibri" w:eastAsia="Calibri" w:hAnsi="Calibri" w:cs="Times New Roman"/>
          <w:szCs w:val="20"/>
          <w:lang w:eastAsia="pl-PL"/>
        </w:rPr>
        <w:t>, o którym mowa w art. 72 ust. 1 pkt 1 ustawy o promocji zatrudnienia i instytucjach rynku pracy</w:t>
      </w:r>
      <w:r w:rsidRPr="00D765C8">
        <w:rPr>
          <w:rFonts w:ascii="Calibri" w:eastAsia="Calibri" w:hAnsi="Calibri" w:cs="Times New Roman"/>
          <w:szCs w:val="20"/>
          <w:vertAlign w:val="superscript"/>
          <w:lang w:eastAsia="pl-PL"/>
        </w:rPr>
        <w:footnoteReference w:id="9"/>
      </w:r>
      <w:r w:rsidRPr="00D765C8">
        <w:rPr>
          <w:rFonts w:ascii="Calibri" w:eastAsia="Calibri" w:hAnsi="Calibri" w:cs="Times New Roman"/>
          <w:szCs w:val="20"/>
          <w:lang w:eastAsia="pl-PL"/>
        </w:rPr>
        <w:t>, jeżeli miesięczna liczba godzin szkolenia wynosi co najmniej 150 godzin, w przypadku niższej miesięcznej liczby godzin szkolenia, wysokość stypendium szkoleniowego ustala się proporcjonalnie, z tym, że stypendium to nie może być niższe niż 20% zasiłku, o którym mowa w art. 72 ust. 1 pkt 1 ustawy o promocji zatrudnienia i instytucjach rynku pracy.</w:t>
      </w:r>
    </w:p>
    <w:p w14:paraId="05936BBF" w14:textId="77777777" w:rsidR="00D765C8" w:rsidRPr="00D765C8" w:rsidRDefault="00D765C8" w:rsidP="00D765C8">
      <w:pPr>
        <w:numPr>
          <w:ilvl w:val="0"/>
          <w:numId w:val="7"/>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Osoby o których mowa w punkcie 5, podlegają obowiązkowo ubezpieczeniom emerytalnym, rentowym, wypadkowemu i zdrowotnemu</w:t>
      </w:r>
      <w:r w:rsidRPr="00D765C8">
        <w:rPr>
          <w:rFonts w:ascii="Calibri" w:eastAsia="Calibri" w:hAnsi="Calibri" w:cs="Times New Roman"/>
          <w:szCs w:val="20"/>
          <w:vertAlign w:val="superscript"/>
          <w:lang w:eastAsia="pl-PL"/>
        </w:rPr>
        <w:footnoteReference w:id="10"/>
      </w:r>
      <w:r w:rsidRPr="00D765C8">
        <w:rPr>
          <w:rFonts w:ascii="Calibri" w:eastAsia="Calibri" w:hAnsi="Calibri" w:cs="Times New Roman"/>
          <w:szCs w:val="20"/>
          <w:lang w:eastAsia="pl-PL"/>
        </w:rPr>
        <w:t xml:space="preserve"> jeśli nie mają innych tytułów powodujących obowiązek ubezpieczeń społecznych(art. 6 ust. 1 pkt 9a w związku z art. 9 ust. 6a oraz art. 12 ustawy z dnia 13 października 1998 r. o systemie ubezpieczeń społecznych;; art. 66 ust. 1 pkt 24a, art. 75 ust. 9a oraz art. 81 ust. 8 pkt 5a, art. 83 ust 2 oraz art. 85 ust. 6a ustawy z dnia 27 sierpnia 2004 r. o świadczeniach opieki zdrowotnej finansowanych ze środków publicznych).Płatnikiem </w:t>
      </w:r>
      <w:r w:rsidRPr="00D765C8">
        <w:rPr>
          <w:rFonts w:ascii="Calibri" w:eastAsia="Calibri" w:hAnsi="Calibri" w:cs="Times New Roman"/>
          <w:szCs w:val="20"/>
          <w:lang w:eastAsia="pl-PL"/>
        </w:rPr>
        <w:lastRenderedPageBreak/>
        <w:t>składek za te osoby jest podmiot kierujący na szkolenie. Koszt składek jest wydatkiem kwalifikowalnym w projekcie, który nie zawiera się w kwocie stypendium, o którym mowa w pkt 5.</w:t>
      </w:r>
    </w:p>
    <w:p w14:paraId="039921AF" w14:textId="70C30BA1" w:rsidR="00D765C8" w:rsidRPr="00D765C8" w:rsidRDefault="00D765C8" w:rsidP="00D765C8">
      <w:pPr>
        <w:numPr>
          <w:ilvl w:val="0"/>
          <w:numId w:val="7"/>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Osoba zachowuje prawo do stypendium szkoleniowego za okres udokumentowanej niezdolności do odbywania szkolenia, przypadający w okresie jego trwania, za który na podstawie odrębnych przepisów pracownicy zachowują prawo do wynagrodzenia lub przysługują im zasiłki z</w:t>
      </w:r>
      <w:r>
        <w:rPr>
          <w:rFonts w:ascii="Calibri" w:eastAsia="Calibri" w:hAnsi="Calibri" w:cs="Times New Roman"/>
          <w:szCs w:val="20"/>
          <w:lang w:eastAsia="pl-PL"/>
        </w:rPr>
        <w:t> </w:t>
      </w:r>
      <w:r w:rsidRPr="00D765C8">
        <w:rPr>
          <w:rFonts w:ascii="Calibri" w:eastAsia="Calibri" w:hAnsi="Calibri" w:cs="Times New Roman"/>
          <w:szCs w:val="20"/>
          <w:lang w:eastAsia="pl-PL"/>
        </w:rPr>
        <w:t>ubezpieczenia społecznego w razie choroby lub macierzyństwa.</w:t>
      </w:r>
    </w:p>
    <w:p w14:paraId="24ADD8E5" w14:textId="27D697BD" w:rsidR="00D765C8" w:rsidRPr="00D765C8" w:rsidRDefault="00D765C8" w:rsidP="00D765C8">
      <w:pPr>
        <w:numPr>
          <w:ilvl w:val="0"/>
          <w:numId w:val="7"/>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Osobom uczestniczącym w szkoleniu, w trakcie jego trwania, można pokryć koszty opieki nad dzieckiem lub dziećmi do lat 7 oraz osobami zależnymi w wysokości wynikającej z wniosku o</w:t>
      </w:r>
      <w:r>
        <w:rPr>
          <w:rFonts w:ascii="Calibri" w:eastAsia="Calibri" w:hAnsi="Calibri" w:cs="Times New Roman"/>
          <w:szCs w:val="20"/>
          <w:lang w:eastAsia="pl-PL"/>
        </w:rPr>
        <w:t> </w:t>
      </w:r>
      <w:r w:rsidRPr="00D765C8">
        <w:rPr>
          <w:rFonts w:ascii="Calibri" w:eastAsia="Calibri" w:hAnsi="Calibri" w:cs="Times New Roman"/>
          <w:szCs w:val="20"/>
          <w:lang w:eastAsia="pl-PL"/>
        </w:rPr>
        <w:t>dofinansowanie</w:t>
      </w:r>
    </w:p>
    <w:p w14:paraId="3C668403" w14:textId="05A21DE5" w:rsidR="00D765C8" w:rsidRPr="00D765C8" w:rsidRDefault="00D765C8" w:rsidP="00D765C8">
      <w:pPr>
        <w:spacing w:after="120"/>
        <w:jc w:val="both"/>
        <w:rPr>
          <w:b/>
        </w:rPr>
      </w:pPr>
      <w:r w:rsidRPr="00D765C8">
        <w:rPr>
          <w:b/>
        </w:rPr>
        <w:t>Staże.</w:t>
      </w:r>
    </w:p>
    <w:p w14:paraId="43E3311E"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Staż odbywa się na podstawie pisemnej umowy, której stroną jest co najmniej stażysta oraz podmiot przyjmujący na staż, która zawiera podstawowe warunki przebiegu stażu, w tym cel stażu, okres trwania stażu, wysokość przewidywanego stypendium, miejsce wykonywania prac, zakres obowiązków oraz dane opiekuna stażu.</w:t>
      </w:r>
    </w:p>
    <w:p w14:paraId="7DE0376B"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Zadania w ramach stażu są wykonywane zgodnie z programem stażu, który jest przygotowany przez podmiot przyjmujący na staż we współpracy z organizatorem stażu i przedkładany do podpisu stażysty. Program stażu jest opracowywany indywidualnie, z uwzględnieniem potrzeb i potencjału stażysty.</w:t>
      </w:r>
    </w:p>
    <w:p w14:paraId="1DBAF6D0" w14:textId="6517D21E"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Stażysta wykonuje swoje obowiązki pod nadzorem opiekuna stażu, wyznaczonego na etapie przygotowań do realizacji programu stażu, który wprowadza stażystę w zakres obowiązków oraz zapoznaje z zasadami i procedurami obowiązującymi w organizacji (w tym z zasadami BHP i przeciwpożarowymi),w której odbywa staż, a także monitoruje realizację przydzielonego w</w:t>
      </w:r>
      <w:r>
        <w:rPr>
          <w:rFonts w:ascii="Calibri" w:eastAsia="Calibri" w:hAnsi="Calibri" w:cs="Times New Roman"/>
          <w:szCs w:val="20"/>
          <w:lang w:eastAsia="pl-PL"/>
        </w:rPr>
        <w:t> </w:t>
      </w:r>
      <w:r w:rsidRPr="00D765C8">
        <w:rPr>
          <w:rFonts w:ascii="Calibri" w:eastAsia="Calibri" w:hAnsi="Calibri" w:cs="Times New Roman"/>
          <w:szCs w:val="20"/>
          <w:lang w:eastAsia="pl-PL"/>
        </w:rPr>
        <w:t>programie stażu zakresu obowiązków i celów edukacyjno-zawodowych oraz udziela informacji zwrotnej stażyście na temat osiąganych wyników i stopnia realizacji zadań. Opiekun stażysty jest wyznaczany po stronie podmiotu przyjmującego na staż.</w:t>
      </w:r>
    </w:p>
    <w:p w14:paraId="289B559E"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Po zakończeniu stażu jest opracowywana ocena, uwzględniająca osiągnięte rezultaty oraz efekty stażu. Ocena jest opracowywana przez podmiot przyjmujący na staż w formie pisemnej.</w:t>
      </w:r>
    </w:p>
    <w:p w14:paraId="6A304FE2"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Podmiot przyjmujący na staż umożliwia stażyście ocenę programu stażu w formie pisemnej.</w:t>
      </w:r>
    </w:p>
    <w:p w14:paraId="5A7587DD"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W uzasadnionych przypadkach staże mogą być realizowane w elastycznych godzinach lub niepełne j liczbie godzin</w:t>
      </w:r>
      <w:r w:rsidRPr="00D765C8">
        <w:rPr>
          <w:rFonts w:ascii="Calibri" w:eastAsia="Calibri" w:hAnsi="Calibri" w:cs="Times New Roman"/>
          <w:szCs w:val="20"/>
          <w:vertAlign w:val="superscript"/>
          <w:lang w:eastAsia="pl-PL"/>
        </w:rPr>
        <w:footnoteReference w:id="11"/>
      </w:r>
      <w:r w:rsidRPr="00D765C8">
        <w:rPr>
          <w:rFonts w:ascii="Calibri" w:eastAsia="Calibri" w:hAnsi="Calibri" w:cs="Times New Roman"/>
          <w:szCs w:val="20"/>
          <w:lang w:eastAsia="pl-PL"/>
        </w:rPr>
        <w:t>. Odpowiednie zapisy regulujące godziny odbywania stażu powinny zostać zapisane w umowie, o której mowa w pkt. 1.</w:t>
      </w:r>
    </w:p>
    <w:p w14:paraId="69E9FF4D"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Staż trwa nie dłużej niż 6 miesięcy kalendarzowych. W uzasadnionych przypadkach, wynikających ze specyfiki stanowiska pracy, na którym odbywa się staż, może być wydłużony stosownie do programu stażu.</w:t>
      </w:r>
    </w:p>
    <w:p w14:paraId="50F41AE4"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W okresie odbywania stażu stażyście przysługuje stypendium stażowe</w:t>
      </w:r>
      <w:r w:rsidRPr="00D765C8">
        <w:rPr>
          <w:rFonts w:ascii="Calibri" w:eastAsia="Calibri" w:hAnsi="Calibri" w:cs="Times New Roman"/>
          <w:szCs w:val="20"/>
          <w:vertAlign w:val="superscript"/>
          <w:lang w:eastAsia="pl-PL"/>
        </w:rPr>
        <w:footnoteReference w:id="12"/>
      </w:r>
      <w:r w:rsidRPr="00D765C8">
        <w:rPr>
          <w:rFonts w:ascii="Calibri" w:eastAsia="Calibri" w:hAnsi="Calibri" w:cs="Times New Roman"/>
          <w:szCs w:val="20"/>
          <w:lang w:eastAsia="pl-PL"/>
        </w:rPr>
        <w:t>, które miesięcznie wynosi 120% zasiłku, o którym mowa w art. 72 ust. 1 pkt 1 ustawy o promocji zatrudnienia i instytucjach rynku pracy</w:t>
      </w:r>
      <w:r w:rsidRPr="00D765C8">
        <w:rPr>
          <w:rFonts w:ascii="Calibri" w:eastAsia="Calibri" w:hAnsi="Calibri" w:cs="Times New Roman"/>
          <w:szCs w:val="20"/>
          <w:vertAlign w:val="superscript"/>
          <w:lang w:eastAsia="pl-PL"/>
        </w:rPr>
        <w:footnoteReference w:id="13"/>
      </w:r>
      <w:r w:rsidRPr="00D765C8">
        <w:rPr>
          <w:rFonts w:ascii="Calibri" w:eastAsia="Calibri" w:hAnsi="Calibri" w:cs="Times New Roman"/>
          <w:szCs w:val="20"/>
          <w:lang w:eastAsia="pl-PL"/>
        </w:rPr>
        <w:t>, jeżeli miesięczna liczba godzin stażu wynosi nie mniej niż 160 godzin miesięcznie</w:t>
      </w:r>
      <w:r w:rsidRPr="00D765C8">
        <w:rPr>
          <w:rFonts w:ascii="Calibri" w:eastAsia="Calibri" w:hAnsi="Calibri" w:cs="Times New Roman"/>
          <w:szCs w:val="20"/>
          <w:vertAlign w:val="superscript"/>
          <w:lang w:eastAsia="pl-PL"/>
        </w:rPr>
        <w:footnoteReference w:id="14"/>
      </w:r>
      <w:r w:rsidRPr="00D765C8">
        <w:rPr>
          <w:rFonts w:ascii="Calibri" w:eastAsia="Calibri" w:hAnsi="Calibri" w:cs="Times New Roman"/>
          <w:szCs w:val="20"/>
          <w:lang w:eastAsia="pl-PL"/>
        </w:rPr>
        <w:t xml:space="preserve"> – </w:t>
      </w:r>
      <w:r w:rsidRPr="00D765C8">
        <w:rPr>
          <w:rFonts w:ascii="Calibri" w:eastAsia="Calibri" w:hAnsi="Calibri" w:cs="Times New Roman"/>
          <w:szCs w:val="20"/>
          <w:lang w:eastAsia="pl-PL"/>
        </w:rPr>
        <w:lastRenderedPageBreak/>
        <w:t>w przypadku niższego miesięcznego wymiaru godzin, wysokość stypendium ustala się proporcjonalnie, chyba że w danym miesiącu nie występuje 20 dni roboczych i odbywanie stażu w mniejszej liczbie godzin stażowych jest niezawinione ze strony uczestnika i podmiotu przyjmującego na staż</w:t>
      </w:r>
      <w:r w:rsidRPr="00D765C8">
        <w:rPr>
          <w:rFonts w:ascii="Calibri" w:eastAsia="Calibri" w:hAnsi="Calibri" w:cs="Times New Roman"/>
          <w:szCs w:val="20"/>
          <w:vertAlign w:val="superscript"/>
          <w:lang w:eastAsia="pl-PL"/>
        </w:rPr>
        <w:footnoteReference w:id="15"/>
      </w:r>
      <w:r w:rsidRPr="00D765C8">
        <w:rPr>
          <w:rFonts w:ascii="Calibri" w:eastAsia="Calibri" w:hAnsi="Calibri" w:cs="Times New Roman"/>
          <w:szCs w:val="20"/>
          <w:lang w:eastAsia="pl-PL"/>
        </w:rPr>
        <w:t>.</w:t>
      </w:r>
    </w:p>
    <w:p w14:paraId="3FB88893"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Stażyści pobierający stypendium stażowe w okresie odbywania stażu podlegają obowiązkowo ubezpieczeniom emerytalnym, rentowym i wypadkowym, jeśli nie mają innych tytułów powodujących obowiązek ubezpieczeń społecznych (art. 6 ust. 1 pkt 9a w związku z art. 9 ust. 6a oraz art. 12 ustawy z dnia 13 października 1998 r. o systemie ubezpieczeń społecznych). Płatnikiem składek za te osoby jest podmiot kierujący na staż.</w:t>
      </w:r>
    </w:p>
    <w:p w14:paraId="255C50E3"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Stażyści w okresie odbywania stażu objęci są ubezpieczeniem zdrowotnym</w:t>
      </w:r>
      <w:r w:rsidRPr="00D765C8">
        <w:rPr>
          <w:rFonts w:ascii="Calibri" w:eastAsia="Calibri" w:hAnsi="Calibri" w:cs="Times New Roman"/>
          <w:szCs w:val="20"/>
          <w:vertAlign w:val="superscript"/>
          <w:lang w:eastAsia="pl-PL"/>
        </w:rPr>
        <w:footnoteReference w:id="16"/>
      </w:r>
      <w:r w:rsidRPr="00D765C8">
        <w:rPr>
          <w:rFonts w:ascii="Calibri" w:eastAsia="Calibri" w:hAnsi="Calibri" w:cs="Times New Roman"/>
          <w:szCs w:val="20"/>
          <w:lang w:eastAsia="pl-PL"/>
        </w:rPr>
        <w:t xml:space="preserve"> oraz od następstw nieszczęśliwych wypadków, z tytułu wypadku przy pracy lub choroby zawodowej. Koszt tego ubezpieczenia jest ponoszony przez podmiot kierujący na staż.</w:t>
      </w:r>
    </w:p>
    <w:p w14:paraId="6197D401" w14:textId="0776FD4C"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Koszt składek na ubezpieczenia, o których mowa w pkt 10 i 11, jest wydatkiem kwalifikowalnym w</w:t>
      </w:r>
      <w:r>
        <w:rPr>
          <w:rFonts w:ascii="Calibri" w:eastAsia="Calibri" w:hAnsi="Calibri" w:cs="Times New Roman"/>
          <w:szCs w:val="20"/>
          <w:lang w:eastAsia="pl-PL"/>
        </w:rPr>
        <w:t> </w:t>
      </w:r>
      <w:r w:rsidRPr="00D765C8">
        <w:rPr>
          <w:rFonts w:ascii="Calibri" w:eastAsia="Calibri" w:hAnsi="Calibri" w:cs="Times New Roman"/>
          <w:szCs w:val="20"/>
          <w:lang w:eastAsia="pl-PL"/>
        </w:rPr>
        <w:t>projekcie, który nie zawiera się w kwocie stypendium, o którym mowa w pkt 9.</w:t>
      </w:r>
    </w:p>
    <w:p w14:paraId="18AD0567"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Osobie odbywającej staż przysługują 2 dni wolne za każde30 dni kalendarzowych odbytego stażu, za które przysługuje stypendium stażowe.</w:t>
      </w:r>
    </w:p>
    <w:p w14:paraId="40B50E7E" w14:textId="100EFCE0"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Osoba zachowuje prawo do stypendium stażowego za okres udokumentowanej niezdolności do wykonywania zadań przypadający w okresie odbywania stażu, za który na podstawie odrębnych przepisów pracownicy zachowują prawo do wynagrodzenia lub przysługują im zasiłki z</w:t>
      </w:r>
      <w:r>
        <w:rPr>
          <w:rFonts w:ascii="Calibri" w:eastAsia="Calibri" w:hAnsi="Calibri" w:cs="Times New Roman"/>
          <w:szCs w:val="20"/>
          <w:lang w:eastAsia="pl-PL"/>
        </w:rPr>
        <w:t> </w:t>
      </w:r>
      <w:r w:rsidRPr="00D765C8">
        <w:rPr>
          <w:rFonts w:ascii="Calibri" w:eastAsia="Calibri" w:hAnsi="Calibri" w:cs="Times New Roman"/>
          <w:szCs w:val="20"/>
          <w:lang w:eastAsia="pl-PL"/>
        </w:rPr>
        <w:t>ubezpieczenia społecznego w razie choroby lub macierzyństwa.</w:t>
      </w:r>
    </w:p>
    <w:p w14:paraId="7CF9DBF3"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Osobom uczestniczącym w stażu, w okresie jego trwania, można pokryć koszty opieki nad dzieckiem lub dziećmi do lat 7 oraz osobami zależnymi w wysokości wynikającej z wniosku o dofinansowanie.</w:t>
      </w:r>
    </w:p>
    <w:p w14:paraId="1877F3DD" w14:textId="77777777" w:rsidR="00D765C8" w:rsidRPr="00D765C8" w:rsidRDefault="00D765C8" w:rsidP="00D765C8">
      <w:pPr>
        <w:numPr>
          <w:ilvl w:val="0"/>
          <w:numId w:val="8"/>
        </w:numPr>
        <w:spacing w:after="120"/>
        <w:contextualSpacing/>
        <w:jc w:val="both"/>
        <w:rPr>
          <w:rFonts w:ascii="Calibri" w:eastAsia="Calibri" w:hAnsi="Calibri" w:cs="Times New Roman"/>
          <w:color w:val="FF0000"/>
          <w:szCs w:val="20"/>
          <w:lang w:eastAsia="pl-PL"/>
        </w:rPr>
      </w:pPr>
      <w:r w:rsidRPr="00D765C8">
        <w:rPr>
          <w:rFonts w:ascii="Calibri" w:eastAsia="Calibri" w:hAnsi="Calibri" w:cs="Times New Roman"/>
          <w:szCs w:val="20"/>
          <w:lang w:eastAsia="pl-PL"/>
        </w:rPr>
        <w:t>Zasady ewentualnego wynagrodzenia opiekuna stażysty są uregulowane w porozumieniu lub umowie pomiędzy podmiotem kierującym na staż (Beneficjentem), a podmiotem przyjmującym na staż. Dokument ten reguluje zasady refundacji wynagrodzenia opiekuna stażysty z określeniem dokumentów składanych wraz z wnioskiem o refundację oraz dokumentów, którymi powinien dysponować przyjmujący na staż w przypadku kontroli przeprowadzanych przez organizatora stażu lub organy uprawnione. Zasadność wypłaty wynagrodzenia opiekunowi stażysty powinna wynikać ze specyfiki stażu. Oceny zasadności wynagrodzenia dokonuje się podczas realizacji projektu, w momencie otrzymania od beneficjenta informacji dotyczącej specyfiki i miejsca odbywania stażu przez danego uczestnika</w:t>
      </w:r>
      <w:r w:rsidRPr="00D765C8">
        <w:rPr>
          <w:rFonts w:ascii="Calibri" w:eastAsia="Calibri" w:hAnsi="Calibri" w:cs="Times New Roman"/>
          <w:szCs w:val="20"/>
          <w:vertAlign w:val="superscript"/>
          <w:lang w:eastAsia="pl-PL"/>
        </w:rPr>
        <w:footnoteReference w:id="17"/>
      </w:r>
      <w:r w:rsidRPr="00D765C8">
        <w:rPr>
          <w:rFonts w:ascii="Calibri" w:eastAsia="Calibri" w:hAnsi="Calibri" w:cs="Times New Roman"/>
          <w:szCs w:val="20"/>
          <w:lang w:eastAsia="pl-PL"/>
        </w:rPr>
        <w:t>.</w:t>
      </w:r>
    </w:p>
    <w:p w14:paraId="4CD31F0E" w14:textId="77777777" w:rsidR="00D765C8" w:rsidRPr="00D765C8" w:rsidRDefault="00D765C8" w:rsidP="00D765C8">
      <w:pPr>
        <w:numPr>
          <w:ilvl w:val="0"/>
          <w:numId w:val="8"/>
        </w:numPr>
        <w:spacing w:after="120"/>
        <w:contextualSpacing/>
        <w:jc w:val="both"/>
        <w:rPr>
          <w:rFonts w:ascii="Calibri" w:eastAsia="Calibri" w:hAnsi="Calibri" w:cs="Times New Roman"/>
          <w:color w:val="FF0000"/>
          <w:szCs w:val="20"/>
          <w:lang w:eastAsia="pl-PL"/>
        </w:rPr>
      </w:pPr>
      <w:r w:rsidRPr="00D765C8">
        <w:rPr>
          <w:rFonts w:ascii="Calibri" w:eastAsia="Calibri" w:hAnsi="Calibri" w:cs="Times New Roman"/>
          <w:szCs w:val="20"/>
          <w:lang w:eastAsia="pl-PL"/>
        </w:rPr>
        <w:t>Koszty wynagrodzenia opiekuna stażysty są kwalifikowalne, o ile uwzględniają jedną z poniższych opcji i wynikają z założeń porozumienia w sprawie realizacji stażu</w:t>
      </w:r>
      <w:r w:rsidRPr="00D765C8">
        <w:rPr>
          <w:rFonts w:ascii="Calibri" w:eastAsia="Calibri" w:hAnsi="Calibri" w:cs="Times New Roman"/>
          <w:szCs w:val="20"/>
          <w:vertAlign w:val="superscript"/>
          <w:lang w:eastAsia="pl-PL"/>
        </w:rPr>
        <w:footnoteReference w:id="18"/>
      </w:r>
      <w:r w:rsidRPr="00D765C8">
        <w:rPr>
          <w:rFonts w:ascii="Calibri" w:eastAsia="Calibri" w:hAnsi="Calibri" w:cs="Times New Roman"/>
          <w:szCs w:val="20"/>
          <w:lang w:eastAsia="pl-PL"/>
        </w:rPr>
        <w:t>:</w:t>
      </w:r>
    </w:p>
    <w:p w14:paraId="5A5B37A6" w14:textId="77777777" w:rsidR="00D765C8" w:rsidRPr="00D765C8" w:rsidRDefault="00D765C8" w:rsidP="00D765C8">
      <w:pPr>
        <w:numPr>
          <w:ilvl w:val="0"/>
          <w:numId w:val="9"/>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lastRenderedPageBreak/>
        <w:t>refundację podmiotowi przyjmującemu na staż dotychczasowego wynagrodzenia opiekuna stażysty w przypadku oddelegowania go wyłącznie do realizacji zadań związanych z opieką nad grupą stażystów, pod warunkiem, że opiekun stażysty nadzoruje pracę więcej niż 3 stażystów i jest to uzasadnione specyfiką stażu</w:t>
      </w:r>
      <w:r w:rsidRPr="00D765C8">
        <w:rPr>
          <w:rFonts w:ascii="Calibri" w:eastAsia="Calibri" w:hAnsi="Calibri" w:cs="Times New Roman"/>
          <w:szCs w:val="20"/>
          <w:vertAlign w:val="superscript"/>
          <w:lang w:eastAsia="pl-PL"/>
        </w:rPr>
        <w:footnoteReference w:id="19"/>
      </w:r>
      <w:r w:rsidRPr="00D765C8">
        <w:rPr>
          <w:rFonts w:ascii="Calibri" w:eastAsia="Calibri" w:hAnsi="Calibri" w:cs="Times New Roman"/>
          <w:szCs w:val="20"/>
          <w:lang w:eastAsia="pl-PL"/>
        </w:rPr>
        <w:t>,</w:t>
      </w:r>
    </w:p>
    <w:p w14:paraId="7872B3CB" w14:textId="77777777" w:rsidR="00D765C8" w:rsidRPr="00D765C8" w:rsidRDefault="00D765C8" w:rsidP="00D765C8">
      <w:pPr>
        <w:numPr>
          <w:ilvl w:val="0"/>
          <w:numId w:val="9"/>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refundację podmiotowi przyjmującemu na staż części dotychczasowego wynagrodzenia opiekuna stażysty w przypadku częściowego zwolnienia go od obowiązku świadczenia pracy na rzecz realizacji zadań związanych z opieką nad stażystą/grupą stażystów w wysokości nie większej niż 500 zł brutto miesięcznie</w:t>
      </w:r>
      <w:r w:rsidRPr="00D765C8">
        <w:rPr>
          <w:rFonts w:ascii="Calibri" w:eastAsia="Calibri" w:hAnsi="Calibri" w:cs="Times New Roman"/>
          <w:szCs w:val="20"/>
          <w:vertAlign w:val="superscript"/>
          <w:lang w:eastAsia="pl-PL"/>
        </w:rPr>
        <w:footnoteReference w:id="20"/>
      </w:r>
      <w:r w:rsidRPr="00D765C8">
        <w:rPr>
          <w:rFonts w:ascii="Calibri" w:eastAsia="Calibri" w:hAnsi="Calibri" w:cs="Times New Roman"/>
          <w:szCs w:val="20"/>
          <w:lang w:eastAsia="pl-PL"/>
        </w:rPr>
        <w:t xml:space="preserve"> za opiekę nad pierwszym stażystą i nie więcej niż 250 zł brutto miesięcznie za każdego kolejnego stażystę, przy czym opiekun może otrzymać refundację za opiekę nad maksymalnie 3 stażystami,</w:t>
      </w:r>
    </w:p>
    <w:p w14:paraId="63686070" w14:textId="28A77C76" w:rsidR="00D765C8" w:rsidRPr="00D765C8" w:rsidRDefault="00D765C8" w:rsidP="00D765C8">
      <w:pPr>
        <w:numPr>
          <w:ilvl w:val="0"/>
          <w:numId w:val="9"/>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refundację podmiotowi przyjmującemu na staż dodatku do wynagrodzenia opiekuna stażysty w</w:t>
      </w:r>
      <w:r>
        <w:rPr>
          <w:rFonts w:ascii="Calibri" w:eastAsia="Calibri" w:hAnsi="Calibri" w:cs="Times New Roman"/>
          <w:szCs w:val="20"/>
          <w:lang w:eastAsia="pl-PL"/>
        </w:rPr>
        <w:t> </w:t>
      </w:r>
      <w:r w:rsidRPr="00D765C8">
        <w:rPr>
          <w:rFonts w:ascii="Calibri" w:eastAsia="Calibri" w:hAnsi="Calibri" w:cs="Times New Roman"/>
          <w:szCs w:val="20"/>
          <w:lang w:eastAsia="pl-PL"/>
        </w:rPr>
        <w:t>sytuacji, gdy nie został zwolniony od obowiązku świadczenia pracy na rzecz realizacji zadań związanych z opieką nad stażystą/grupą stażystów w wysokości nie większej niż 500 zł brutto miesięcznie za opiekę nad pierwszym stażystą i nie więcej niż 250 zł brutto miesięcznie za każdego kolejnego stażystę, przy czym opiekun może otrzymać refundację za opiekę nad maksymalnie 3</w:t>
      </w:r>
      <w:r>
        <w:rPr>
          <w:rFonts w:ascii="Calibri" w:eastAsia="Calibri" w:hAnsi="Calibri" w:cs="Times New Roman"/>
          <w:szCs w:val="20"/>
          <w:lang w:eastAsia="pl-PL"/>
        </w:rPr>
        <w:t> </w:t>
      </w:r>
      <w:r w:rsidRPr="00D765C8">
        <w:rPr>
          <w:rFonts w:ascii="Calibri" w:eastAsia="Calibri" w:hAnsi="Calibri" w:cs="Times New Roman"/>
          <w:szCs w:val="20"/>
          <w:lang w:eastAsia="pl-PL"/>
        </w:rPr>
        <w:t>stażystami</w:t>
      </w:r>
      <w:r w:rsidRPr="00D765C8">
        <w:rPr>
          <w:rFonts w:ascii="Calibri" w:eastAsia="Calibri" w:hAnsi="Calibri" w:cs="Times New Roman"/>
          <w:szCs w:val="20"/>
          <w:vertAlign w:val="superscript"/>
          <w:lang w:eastAsia="pl-PL"/>
        </w:rPr>
        <w:footnoteReference w:id="21"/>
      </w:r>
      <w:r w:rsidRPr="00D765C8">
        <w:rPr>
          <w:rFonts w:ascii="Calibri" w:eastAsia="Calibri" w:hAnsi="Calibri" w:cs="Times New Roman"/>
          <w:szCs w:val="20"/>
          <w:lang w:eastAsia="pl-PL"/>
        </w:rPr>
        <w:t xml:space="preserve">. </w:t>
      </w:r>
    </w:p>
    <w:p w14:paraId="3648A5E5"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Funkcje opiekuna stażysty może pełnić wyłącznie osoba posiadająca co najmniej dwunastomiesięczny staż pracy na danym stanowisku, na którym odbywa się staż lub co najmniej dwunastomiesięczne doświadczenie w branży/dziedzinie, w jakiej realizowany jest staż.</w:t>
      </w:r>
    </w:p>
    <w:p w14:paraId="7735A07D" w14:textId="5C1EB5E8"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Katalog wydatków przewidzianych w ramach projektu może uwzględniać inne koszty związane z odbywaniem stażu takie jak: koszty dojazdu, koszty zakupu zużywalnych materiałów i narzędzi niezbędnych stażyście do odbycia stażu</w:t>
      </w:r>
      <w:r w:rsidRPr="00D765C8">
        <w:rPr>
          <w:rFonts w:ascii="Calibri" w:eastAsia="Calibri" w:hAnsi="Calibri" w:cs="Times New Roman"/>
          <w:szCs w:val="20"/>
          <w:vertAlign w:val="superscript"/>
          <w:lang w:eastAsia="pl-PL"/>
        </w:rPr>
        <w:footnoteReference w:id="22"/>
      </w:r>
      <w:r w:rsidRPr="00D765C8">
        <w:rPr>
          <w:rFonts w:ascii="Calibri" w:eastAsia="Calibri" w:hAnsi="Calibri" w:cs="Times New Roman"/>
          <w:szCs w:val="20"/>
          <w:lang w:eastAsia="pl-PL"/>
        </w:rPr>
        <w:t>, szkolenia BHP stażysty w wysokości nieprzekraczającej 5 000 zł brutto na 1 stażystę, które są rozliczane jako refundacja wydatków poniesionych przez podmiot przyjmujący na staż. Katalog wydatków nie obejmuje wyposażenia stanowiska stażu.</w:t>
      </w:r>
    </w:p>
    <w:p w14:paraId="171EDEFB" w14:textId="77777777" w:rsidR="00D765C8" w:rsidRDefault="00D765C8" w:rsidP="00D765C8">
      <w:pPr>
        <w:spacing w:after="120"/>
        <w:jc w:val="both"/>
        <w:rPr>
          <w:b/>
        </w:rPr>
      </w:pPr>
    </w:p>
    <w:p w14:paraId="54ACF043" w14:textId="21355C33" w:rsidR="00D765C8" w:rsidRPr="00D765C8" w:rsidRDefault="00D765C8" w:rsidP="00D765C8">
      <w:pPr>
        <w:spacing w:after="120"/>
        <w:jc w:val="both"/>
        <w:rPr>
          <w:b/>
        </w:rPr>
      </w:pPr>
      <w:r w:rsidRPr="00D765C8">
        <w:rPr>
          <w:b/>
        </w:rPr>
        <w:t>Zatrudnienie wspomagane.</w:t>
      </w:r>
    </w:p>
    <w:p w14:paraId="098A1FF2" w14:textId="77777777" w:rsidR="00D765C8" w:rsidRPr="00D765C8" w:rsidRDefault="00D765C8" w:rsidP="00D765C8">
      <w:pPr>
        <w:numPr>
          <w:ilvl w:val="0"/>
          <w:numId w:val="10"/>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W przypadku zdiagnozowania potrzeb osoby z niepełnosprawnościami zapewniane jest wsparcie trenera pracy realizującego działania w zakresie zatrudnienia wspomaganego.</w:t>
      </w:r>
    </w:p>
    <w:p w14:paraId="12F84615" w14:textId="77777777" w:rsidR="00D765C8" w:rsidRPr="00D765C8" w:rsidRDefault="00D765C8" w:rsidP="00D765C8">
      <w:pPr>
        <w:numPr>
          <w:ilvl w:val="0"/>
          <w:numId w:val="10"/>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Trenerem pracy może być osoba, która spełnia łącznie poniższe warunki:</w:t>
      </w:r>
    </w:p>
    <w:p w14:paraId="59A54BD3" w14:textId="77777777" w:rsidR="00D765C8" w:rsidRPr="00D765C8" w:rsidRDefault="00D765C8" w:rsidP="00D765C8">
      <w:pPr>
        <w:numPr>
          <w:ilvl w:val="0"/>
          <w:numId w:val="11"/>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posiada co najmniej średnie wykształcenie oraz podstawową wiedzę w zakresie przepisów prawa pracy i zatrudniania osób z niepełnosprawnościami,</w:t>
      </w:r>
    </w:p>
    <w:p w14:paraId="355AC055" w14:textId="77777777" w:rsidR="00D765C8" w:rsidRPr="00D765C8" w:rsidRDefault="00D765C8" w:rsidP="00D765C8">
      <w:pPr>
        <w:numPr>
          <w:ilvl w:val="0"/>
          <w:numId w:val="11"/>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posiada co najmniej roczne doświadczenie zawodowe, w tym także doświadczenie w formie wolontariatu,</w:t>
      </w:r>
    </w:p>
    <w:p w14:paraId="75915F2F" w14:textId="5E957720" w:rsidR="00D765C8" w:rsidRPr="00D765C8" w:rsidRDefault="00D765C8" w:rsidP="00D765C8">
      <w:pPr>
        <w:numPr>
          <w:ilvl w:val="0"/>
          <w:numId w:val="11"/>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posiada co najmniej 3-miesięcznedoświadczeniew bezpośredniej pracy z osobami z</w:t>
      </w:r>
      <w:r>
        <w:rPr>
          <w:rFonts w:ascii="Calibri" w:eastAsia="Calibri" w:hAnsi="Calibri" w:cs="Times New Roman"/>
          <w:szCs w:val="20"/>
          <w:lang w:eastAsia="pl-PL"/>
        </w:rPr>
        <w:t> </w:t>
      </w:r>
      <w:r w:rsidRPr="00D765C8">
        <w:rPr>
          <w:rFonts w:ascii="Calibri" w:eastAsia="Calibri" w:hAnsi="Calibri" w:cs="Times New Roman"/>
          <w:szCs w:val="20"/>
          <w:lang w:eastAsia="pl-PL"/>
        </w:rPr>
        <w:t>niepełnosprawnościami lub przeszła szkolenie w zakresie zatrudnienia wspomaganego.</w:t>
      </w:r>
    </w:p>
    <w:p w14:paraId="64FD73E6" w14:textId="77777777" w:rsidR="00D765C8" w:rsidRPr="00D765C8" w:rsidRDefault="00D765C8" w:rsidP="00D765C8">
      <w:pPr>
        <w:numPr>
          <w:ilvl w:val="0"/>
          <w:numId w:val="10"/>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Zadania w zakresie zatrudnienia wspomaganego są realizowane przez trenera pracy, który może zostać również wsparty przez psychologa, doradcę zawodowego lub terapeutów.</w:t>
      </w:r>
    </w:p>
    <w:p w14:paraId="6A54390F" w14:textId="77777777" w:rsidR="00D765C8" w:rsidRPr="00D765C8" w:rsidRDefault="00D765C8" w:rsidP="00D765C8">
      <w:pPr>
        <w:numPr>
          <w:ilvl w:val="0"/>
          <w:numId w:val="10"/>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lastRenderedPageBreak/>
        <w:t>Osoba z niepełnosprawnościami, może w trakcie zatrudnienia wspomaganego, korzystać również z usług asystenta osoby z niepełnosprawnościami oraz ze wsparcia innych specjalistów ukierunkowanego na utrzymanie zatrudnienia.</w:t>
      </w:r>
    </w:p>
    <w:p w14:paraId="3C1DF3FA" w14:textId="77777777" w:rsidR="00D765C8" w:rsidRPr="00D765C8" w:rsidRDefault="00D765C8" w:rsidP="00D765C8">
      <w:pPr>
        <w:numPr>
          <w:ilvl w:val="0"/>
          <w:numId w:val="10"/>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Trener pracy realizuje zadanie w zakresie:</w:t>
      </w:r>
    </w:p>
    <w:p w14:paraId="64259D80" w14:textId="77777777" w:rsidR="00D765C8" w:rsidRPr="00D765C8" w:rsidRDefault="00D765C8" w:rsidP="00D765C8">
      <w:pPr>
        <w:numPr>
          <w:ilvl w:val="0"/>
          <w:numId w:val="12"/>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motywowania i aktywności osoby z niepełnosprawnościami,</w:t>
      </w:r>
    </w:p>
    <w:p w14:paraId="121835FB" w14:textId="77777777" w:rsidR="00D765C8" w:rsidRPr="00D765C8" w:rsidRDefault="00D765C8" w:rsidP="00D765C8">
      <w:pPr>
        <w:numPr>
          <w:ilvl w:val="0"/>
          <w:numId w:val="12"/>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zapewnienia jej wsparcia w zakresie poradnictwa i doradztwa zawodowego oraz wypracowania profilu zawodowego,</w:t>
      </w:r>
    </w:p>
    <w:p w14:paraId="45DBA909" w14:textId="77777777" w:rsidR="00D765C8" w:rsidRPr="00D765C8" w:rsidRDefault="00D765C8" w:rsidP="00D765C8">
      <w:pPr>
        <w:numPr>
          <w:ilvl w:val="0"/>
          <w:numId w:val="12"/>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wsparcia w poszukiwaniu pracy i kontaktu z pracodawcą,</w:t>
      </w:r>
    </w:p>
    <w:p w14:paraId="16F0A9B8" w14:textId="77777777" w:rsidR="00D765C8" w:rsidRPr="00D765C8" w:rsidRDefault="00D765C8" w:rsidP="00D765C8">
      <w:pPr>
        <w:numPr>
          <w:ilvl w:val="0"/>
          <w:numId w:val="12"/>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wsparcia po uzyskaniu zatrudnienia w zakresie orzecznictwa, poradnictwa i innych form wymaganego wsparcia.</w:t>
      </w:r>
    </w:p>
    <w:p w14:paraId="29ABBD74" w14:textId="5F5AC1C3" w:rsidR="00D765C8" w:rsidRDefault="00D765C8" w:rsidP="00D765C8">
      <w:pPr>
        <w:numPr>
          <w:ilvl w:val="0"/>
          <w:numId w:val="10"/>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Wymiar czasu pracy i okres zatrudnienia trenera pracy powinien wynikać z indywidualnych potrzeb osób z niepełnosprawnościami, przy czym okres zatrudnienia trenera pracy nie może być dłuższy niż 24 miesiące.</w:t>
      </w:r>
    </w:p>
    <w:p w14:paraId="37C8347A" w14:textId="77777777" w:rsidR="00D765C8" w:rsidRPr="00D765C8" w:rsidRDefault="00D765C8" w:rsidP="00D765C8">
      <w:pPr>
        <w:ind w:left="360"/>
        <w:contextualSpacing/>
        <w:jc w:val="both"/>
        <w:rPr>
          <w:rFonts w:ascii="Calibri" w:eastAsia="Calibri" w:hAnsi="Calibri" w:cs="Times New Roman"/>
          <w:szCs w:val="20"/>
          <w:lang w:eastAsia="pl-PL"/>
        </w:rPr>
      </w:pPr>
    </w:p>
    <w:tbl>
      <w:tblPr>
        <w:tblStyle w:val="Tabela-Siatka"/>
        <w:tblW w:w="0" w:type="auto"/>
        <w:tblLook w:val="04A0" w:firstRow="1" w:lastRow="0" w:firstColumn="1" w:lastColumn="0" w:noHBand="0" w:noVBand="1"/>
      </w:tblPr>
      <w:tblGrid>
        <w:gridCol w:w="9062"/>
      </w:tblGrid>
      <w:tr w:rsidR="00D765C8" w:rsidRPr="00D765C8" w14:paraId="75D7B3CB" w14:textId="77777777" w:rsidTr="00247EF6">
        <w:tc>
          <w:tcPr>
            <w:tcW w:w="9212" w:type="dxa"/>
            <w:shd w:val="clear" w:color="auto" w:fill="BFBFBF" w:themeFill="background1" w:themeFillShade="BF"/>
          </w:tcPr>
          <w:p w14:paraId="3C8FDB2A" w14:textId="77777777" w:rsidR="00D765C8" w:rsidRPr="00D765C8" w:rsidRDefault="00D765C8" w:rsidP="00D765C8">
            <w:pPr>
              <w:spacing w:after="200" w:line="276" w:lineRule="auto"/>
              <w:jc w:val="both"/>
              <w:rPr>
                <w:b/>
              </w:rPr>
            </w:pPr>
            <w:r w:rsidRPr="00D765C8">
              <w:rPr>
                <w:b/>
              </w:rPr>
              <w:t>Nazwy kosztów w budżecie projektu</w:t>
            </w:r>
          </w:p>
        </w:tc>
      </w:tr>
    </w:tbl>
    <w:p w14:paraId="6F197545" w14:textId="77777777" w:rsidR="00D765C8" w:rsidRPr="00D765C8" w:rsidRDefault="00D765C8" w:rsidP="00D765C8">
      <w:pPr>
        <w:spacing w:after="0"/>
        <w:jc w:val="both"/>
      </w:pPr>
    </w:p>
    <w:p w14:paraId="3EB4C217" w14:textId="77777777" w:rsidR="00D765C8" w:rsidRPr="00D765C8" w:rsidRDefault="00D765C8" w:rsidP="00D765C8">
      <w:pPr>
        <w:spacing w:after="0"/>
        <w:jc w:val="both"/>
        <w:rPr>
          <w:rFonts w:cs="Calibri"/>
        </w:rPr>
      </w:pPr>
      <w:r w:rsidRPr="00D765C8">
        <w:rPr>
          <w:rFonts w:cs="Calibri"/>
        </w:rPr>
        <w:t>Wnioskodawca nie powinien wskazywać w szczegółowym budżecie projektu informacji typu forma zaangażowania, liczba godzin zajęć, liczba grup zajęciowych, liczba osób na zajęciach, częstotliwość zajęć, cena jednostkowa itp. Informacje te należy wykazywać w uzasadnieniach dla poszczególnych wydatków pod szczegółowym budżetem projektu. Zgodnie z zaleceniami IK UP do centralnego systemu teleinformatycznego SL2014 nazwy pozycji powinny być odpowiednio ogólne tak, aby drobne zmiany, które pojawiają się w trakcie realizacji projektu nie wiązały się ze zmianą nazw kosztów.</w:t>
      </w:r>
    </w:p>
    <w:p w14:paraId="3786C718" w14:textId="77777777" w:rsidR="00D765C8" w:rsidRPr="00D765C8" w:rsidRDefault="00D765C8" w:rsidP="00D765C8">
      <w:pPr>
        <w:spacing w:after="0"/>
        <w:jc w:val="both"/>
      </w:pPr>
    </w:p>
    <w:tbl>
      <w:tblPr>
        <w:tblStyle w:val="Tabela-Siatka"/>
        <w:tblW w:w="0" w:type="auto"/>
        <w:tblLook w:val="04A0" w:firstRow="1" w:lastRow="0" w:firstColumn="1" w:lastColumn="0" w:noHBand="0" w:noVBand="1"/>
      </w:tblPr>
      <w:tblGrid>
        <w:gridCol w:w="9062"/>
      </w:tblGrid>
      <w:tr w:rsidR="00D765C8" w:rsidRPr="00D765C8" w14:paraId="73940AD1" w14:textId="77777777" w:rsidTr="00247EF6">
        <w:tc>
          <w:tcPr>
            <w:tcW w:w="9212" w:type="dxa"/>
            <w:shd w:val="clear" w:color="auto" w:fill="BFBFBF" w:themeFill="background1" w:themeFillShade="BF"/>
          </w:tcPr>
          <w:p w14:paraId="4890BC49" w14:textId="77777777" w:rsidR="00D765C8" w:rsidRPr="00D765C8" w:rsidRDefault="00D765C8" w:rsidP="00D765C8">
            <w:pPr>
              <w:spacing w:after="200" w:line="276" w:lineRule="auto"/>
              <w:jc w:val="both"/>
              <w:rPr>
                <w:b/>
              </w:rPr>
            </w:pPr>
            <w:r w:rsidRPr="00D765C8">
              <w:rPr>
                <w:b/>
              </w:rPr>
              <w:t>Wydatki inwestycyjne</w:t>
            </w:r>
          </w:p>
        </w:tc>
      </w:tr>
    </w:tbl>
    <w:p w14:paraId="116FED03" w14:textId="77777777" w:rsidR="00D765C8" w:rsidRPr="00D765C8" w:rsidRDefault="00D765C8" w:rsidP="00D765C8">
      <w:pPr>
        <w:jc w:val="both"/>
      </w:pPr>
    </w:p>
    <w:p w14:paraId="0DE453F3" w14:textId="77777777" w:rsidR="00D765C8" w:rsidRPr="00D765C8" w:rsidRDefault="00D765C8" w:rsidP="00D765C8">
      <w:pPr>
        <w:contextualSpacing/>
        <w:jc w:val="both"/>
      </w:pPr>
      <w:r w:rsidRPr="00D765C8">
        <w:t xml:space="preserve">1. </w:t>
      </w:r>
      <w:r w:rsidRPr="00D765C8">
        <w:rPr>
          <w:b/>
        </w:rPr>
        <w:t>W przypadku jednostek spoza sektora finansów publicznych</w:t>
      </w:r>
      <w:r w:rsidRPr="00D765C8">
        <w:t xml:space="preserve"> </w:t>
      </w:r>
      <w:r w:rsidRPr="00D765C8">
        <w:rPr>
          <w:b/>
        </w:rPr>
        <w:t>za wydatki inwestycyjne uznaje się wydatki planowane do poniesienia w ramach kategorii cross-</w:t>
      </w:r>
      <w:proofErr w:type="spellStart"/>
      <w:r w:rsidRPr="00D765C8">
        <w:rPr>
          <w:b/>
        </w:rPr>
        <w:t>financing</w:t>
      </w:r>
      <w:proofErr w:type="spellEnd"/>
      <w:r w:rsidRPr="00D765C8">
        <w:rPr>
          <w:b/>
        </w:rPr>
        <w:t>, których wartość jednostkowa przekracza kwotę 10.000 zł oraz wydatki na zakup środków trwałych</w:t>
      </w:r>
      <w:r w:rsidRPr="00D765C8">
        <w:rPr>
          <w:b/>
          <w:vertAlign w:val="superscript"/>
        </w:rPr>
        <w:footnoteReference w:id="23"/>
      </w:r>
      <w:r w:rsidRPr="00D765C8">
        <w:rPr>
          <w:b/>
        </w:rPr>
        <w:t xml:space="preserve">, których wartość jednostkowa przekracza kwotę 10.000 zł. </w:t>
      </w:r>
      <w:r w:rsidRPr="00D765C8">
        <w:t xml:space="preserve">Wysokość środków przeznaczonych na sfinansowanie wydatków inwestycyjnych będzie określana na podstawie deklaracji składanych przez beneficjentów na etapie podpisywania umowy o dofinansowanie projektu. </w:t>
      </w:r>
    </w:p>
    <w:p w14:paraId="0B754C2D" w14:textId="77777777" w:rsidR="00D765C8" w:rsidRPr="00D765C8" w:rsidRDefault="00D765C8" w:rsidP="00D765C8">
      <w:pPr>
        <w:contextualSpacing/>
        <w:jc w:val="both"/>
      </w:pPr>
    </w:p>
    <w:p w14:paraId="2DF804FC" w14:textId="77777777" w:rsidR="00D765C8" w:rsidRPr="00D765C8" w:rsidRDefault="00D765C8" w:rsidP="00D765C8">
      <w:pPr>
        <w:jc w:val="both"/>
      </w:pPr>
      <w:r w:rsidRPr="00D765C8">
        <w:t>Środki na sfinansowanie wydatków inwestycyjnych ponoszonych przez beneficjentów będących jednostkami spoza sektora finansów publicznych będą przekazywane przez IZ RPO WK-P w paragrafie 620 klasyfikacji budżetowej.</w:t>
      </w:r>
    </w:p>
    <w:p w14:paraId="1EE3F896" w14:textId="77777777" w:rsidR="00D765C8" w:rsidRPr="00D765C8" w:rsidRDefault="00D765C8" w:rsidP="00D765C8">
      <w:pPr>
        <w:spacing w:after="0"/>
        <w:jc w:val="both"/>
      </w:pPr>
      <w:r w:rsidRPr="00D765C8">
        <w:lastRenderedPageBreak/>
        <w:t>Ponadto w związku z koniecznością usystematyzowania podejścia w kwestii przekazywania oraz rozliczania przez IZ RPO WK-P środków dofinansowania przyjmuje się, iż w sytuacji wnoszenia do projektu wymaganego wkładu własnego przez beneficjentów będących jednostkami spoza sektora finansów publicznych wydatki inwestycyjne w całości ponoszone będą przez beneficjentów ze środków dofinansowania</w:t>
      </w:r>
      <w:r w:rsidRPr="00D765C8">
        <w:rPr>
          <w:vertAlign w:val="superscript"/>
        </w:rPr>
        <w:footnoteReference w:id="24"/>
      </w:r>
      <w:r w:rsidRPr="00D765C8">
        <w:t>, wkład własny natomiast w całości przeznaczony będzie na sfinansowanie ponoszonych przez beneficjentów wydatków bieżących.</w:t>
      </w:r>
    </w:p>
    <w:p w14:paraId="2AC45F72" w14:textId="77777777" w:rsidR="00D765C8" w:rsidRPr="00D765C8" w:rsidRDefault="00D765C8" w:rsidP="00D765C8">
      <w:pPr>
        <w:spacing w:after="0"/>
        <w:ind w:left="708"/>
        <w:jc w:val="both"/>
      </w:pPr>
    </w:p>
    <w:p w14:paraId="4A8E60CB" w14:textId="77777777" w:rsidR="00D765C8" w:rsidRPr="00D765C8" w:rsidRDefault="00D765C8" w:rsidP="00D765C8">
      <w:pPr>
        <w:contextualSpacing/>
        <w:jc w:val="both"/>
      </w:pPr>
      <w:r w:rsidRPr="00D765C8">
        <w:t xml:space="preserve">2. </w:t>
      </w:r>
      <w:r w:rsidRPr="00D765C8">
        <w:rPr>
          <w:b/>
        </w:rPr>
        <w:t>W przypadku jednostek sektora finansów publicznych – za wydatki inwestycyjne uznaje się wydatki planowane do poniesienia w ramach kategorii cross-</w:t>
      </w:r>
      <w:proofErr w:type="spellStart"/>
      <w:r w:rsidRPr="00D765C8">
        <w:rPr>
          <w:b/>
        </w:rPr>
        <w:t>financing</w:t>
      </w:r>
      <w:proofErr w:type="spellEnd"/>
      <w:r w:rsidRPr="00D765C8">
        <w:rPr>
          <w:b/>
        </w:rPr>
        <w:t>, których wartość jednostkowa przekracza kwotę 10.000 zł oraz wydatki na zakup środków trwałych</w:t>
      </w:r>
      <w:r w:rsidRPr="00D765C8">
        <w:rPr>
          <w:b/>
          <w:vertAlign w:val="superscript"/>
        </w:rPr>
        <w:t>1</w:t>
      </w:r>
      <w:r w:rsidRPr="00D765C8">
        <w:rPr>
          <w:b/>
        </w:rPr>
        <w:t>, których wartość jednostkowa przekracza kwotę 10.000 zł – o ile polityka rachunkowości danej jednostki bądź inne przepisy nie stanowią inaczej.</w:t>
      </w:r>
      <w:r w:rsidRPr="00D765C8">
        <w:t xml:space="preserve"> Wysokość środków przeznaczonych na sfinansowanie wydatków inwestycyjnych będzie określana na podstawie deklaracji składanych przez beneficjentów na etapie podpisywania umowy o dofinansowanie projektu.</w:t>
      </w:r>
    </w:p>
    <w:p w14:paraId="5324376B" w14:textId="77777777" w:rsidR="00D765C8" w:rsidRPr="00D765C8" w:rsidRDefault="00D765C8" w:rsidP="00D765C8">
      <w:pPr>
        <w:contextualSpacing/>
        <w:jc w:val="both"/>
      </w:pPr>
    </w:p>
    <w:p w14:paraId="2F6EDE63" w14:textId="77777777" w:rsidR="00D765C8" w:rsidRPr="00D765C8" w:rsidRDefault="00D765C8" w:rsidP="00D765C8">
      <w:pPr>
        <w:spacing w:after="0"/>
        <w:jc w:val="both"/>
      </w:pPr>
      <w:r w:rsidRPr="00D765C8">
        <w:t>Środki na sfinansowanie wydatków inwestycyjnych ponoszonych przez beneficjentów będących jednostkami samorządu terytorialnego będą przekazywane przez IZ RPO WK-P w paragrafie 625 klasyfikacji budżetowej, natomiast środki na sfinansowanie wydatków inwestycyjnych ponoszonych przez beneficjentów będących jednostkami sektora finansów publicznych i nie będących jednostkami samorządu terytorialnego będą przekazywane przez IZ RPO WK-P w paragrafie 620 klasyfikacji budżetowej.</w:t>
      </w:r>
    </w:p>
    <w:p w14:paraId="4B563FA0" w14:textId="77777777" w:rsidR="00D765C8" w:rsidRPr="00D765C8" w:rsidRDefault="00D765C8" w:rsidP="00D765C8">
      <w:pPr>
        <w:spacing w:after="0"/>
        <w:jc w:val="both"/>
      </w:pPr>
    </w:p>
    <w:p w14:paraId="46D3B7CA" w14:textId="77777777" w:rsidR="00D765C8" w:rsidRPr="00D765C8" w:rsidRDefault="00D765C8" w:rsidP="00D765C8">
      <w:pPr>
        <w:spacing w:after="0"/>
        <w:jc w:val="both"/>
      </w:pPr>
      <w:r w:rsidRPr="00D765C8">
        <w:t>Ponadto w związku z koniecznością usystematyzowania podejścia w kwestii przekazywania oraz rozliczania przez IZ RPO WK-P środków dofinansowania przyjmuje się, iż w sytuacji wnoszenia do projektu wymaganego wkładu własnego przez beneficjentów będących jednostkami sektora finansów publicznych, wydatki inwestycyjne, jak również wydatki bieżące, ponoszone będą przez beneficjentów w podziale na źródła finansowania, zgodnym z metodologią zadeklarowaną przez beneficjentów.</w:t>
      </w:r>
    </w:p>
    <w:p w14:paraId="433E91FB" w14:textId="77777777" w:rsidR="00D765C8" w:rsidRPr="00D765C8" w:rsidRDefault="00D765C8" w:rsidP="00D765C8">
      <w:pPr>
        <w:spacing w:after="0"/>
        <w:jc w:val="both"/>
      </w:pPr>
    </w:p>
    <w:tbl>
      <w:tblPr>
        <w:tblStyle w:val="Tabela-Siatka"/>
        <w:tblW w:w="0" w:type="auto"/>
        <w:tblLook w:val="04A0" w:firstRow="1" w:lastRow="0" w:firstColumn="1" w:lastColumn="0" w:noHBand="0" w:noVBand="1"/>
      </w:tblPr>
      <w:tblGrid>
        <w:gridCol w:w="9062"/>
      </w:tblGrid>
      <w:tr w:rsidR="00D765C8" w:rsidRPr="00D765C8" w14:paraId="251D38A8" w14:textId="77777777" w:rsidTr="00247EF6">
        <w:tc>
          <w:tcPr>
            <w:tcW w:w="9212" w:type="dxa"/>
            <w:shd w:val="clear" w:color="auto" w:fill="BFBFBF" w:themeFill="background1" w:themeFillShade="BF"/>
          </w:tcPr>
          <w:p w14:paraId="52731C9B" w14:textId="77777777" w:rsidR="00D765C8" w:rsidRPr="00D765C8" w:rsidRDefault="00D765C8" w:rsidP="00D765C8">
            <w:pPr>
              <w:keepNext/>
              <w:autoSpaceDE w:val="0"/>
              <w:autoSpaceDN w:val="0"/>
              <w:spacing w:line="276" w:lineRule="auto"/>
              <w:jc w:val="both"/>
              <w:outlineLvl w:val="2"/>
              <w:rPr>
                <w:rFonts w:eastAsia="Times New Roman" w:cs="Times New Roman"/>
                <w:b/>
                <w:bCs/>
                <w:noProof/>
              </w:rPr>
            </w:pPr>
            <w:r w:rsidRPr="00D765C8">
              <w:rPr>
                <w:rFonts w:eastAsia="Times New Roman" w:cs="Times New Roman"/>
                <w:b/>
                <w:bCs/>
                <w:noProof/>
              </w:rPr>
              <w:t xml:space="preserve">Zakaz podwójnego finansowania  </w:t>
            </w:r>
          </w:p>
        </w:tc>
      </w:tr>
    </w:tbl>
    <w:p w14:paraId="6D135068" w14:textId="77777777" w:rsidR="00D765C8" w:rsidRPr="00D765C8" w:rsidRDefault="00D765C8" w:rsidP="00D765C8">
      <w:pPr>
        <w:keepNext/>
        <w:autoSpaceDE w:val="0"/>
        <w:autoSpaceDN w:val="0"/>
        <w:spacing w:after="0"/>
        <w:jc w:val="both"/>
        <w:outlineLvl w:val="2"/>
        <w:rPr>
          <w:rFonts w:eastAsia="Times New Roman" w:cs="Times New Roman"/>
          <w:b/>
          <w:bCs/>
          <w:noProof/>
        </w:rPr>
      </w:pPr>
    </w:p>
    <w:p w14:paraId="19009BA5" w14:textId="77777777" w:rsidR="00D765C8" w:rsidRPr="00D765C8" w:rsidRDefault="00D765C8" w:rsidP="00D765C8">
      <w:pPr>
        <w:spacing w:after="0"/>
        <w:jc w:val="both"/>
      </w:pPr>
      <w:r w:rsidRPr="00D765C8">
        <w:t>W ramach projektów współfinansowanych ze środków Unii Europejskiej niedozwolone jest podwójne finansowanie wydatków. Podwójne finansowanie oznacza w szczególności:</w:t>
      </w:r>
    </w:p>
    <w:p w14:paraId="475FD824" w14:textId="77777777" w:rsidR="00D765C8" w:rsidRPr="00D765C8" w:rsidRDefault="00D765C8" w:rsidP="00D765C8">
      <w:pPr>
        <w:numPr>
          <w:ilvl w:val="0"/>
          <w:numId w:val="2"/>
        </w:numPr>
        <w:spacing w:after="0"/>
        <w:jc w:val="both"/>
      </w:pPr>
      <w:r w:rsidRPr="00D765C8">
        <w:t>całkowite lub częściowe, więcej niż jednokrotne poświadczenie, zrefundowanie lub rozliczenie tego samego wydatku w ramach dofinansowania lub wkładu własnego tego samego lub różnych projektów współfinansowanych ze środków funduszy strukturalnych lub Funduszu Spójności lub/oraz dotacji z krajowych środków publicznych,</w:t>
      </w:r>
    </w:p>
    <w:p w14:paraId="42F3B6B1" w14:textId="77777777" w:rsidR="00D765C8" w:rsidRPr="00D765C8" w:rsidRDefault="00D765C8" w:rsidP="00D765C8">
      <w:pPr>
        <w:numPr>
          <w:ilvl w:val="0"/>
          <w:numId w:val="2"/>
        </w:numPr>
        <w:spacing w:after="0"/>
        <w:jc w:val="both"/>
      </w:pPr>
      <w:r w:rsidRPr="00D765C8">
        <w:t>otrzymanie na wydatki kwalifikowalne danego projektu lub części projektu bezzwrotnej pomocy finansowej z kilku źródeł (krajowych, unijnych lub innych) w wysokości łącznie wyższej niż 100% wydatków kwalifikowalnych projektu lub części projektu,</w:t>
      </w:r>
    </w:p>
    <w:p w14:paraId="1AB4876F" w14:textId="77777777" w:rsidR="00D765C8" w:rsidRPr="00D765C8" w:rsidRDefault="00D765C8" w:rsidP="00D765C8">
      <w:pPr>
        <w:numPr>
          <w:ilvl w:val="0"/>
          <w:numId w:val="2"/>
        </w:numPr>
        <w:spacing w:after="0"/>
        <w:jc w:val="both"/>
      </w:pPr>
      <w:r w:rsidRPr="00D765C8">
        <w:t>poświadczenie, zrefundowanie lub rozliczenie kosztów podatku VAT ze środków funduszy strukturalnych lub Funduszu Spójności, a następnie odzyskanie tego podatku ze środków budżetu państwa na podstawie ustawy z dnia 11 marca 2004 r. o podatku od towarów i usług,</w:t>
      </w:r>
    </w:p>
    <w:p w14:paraId="1ABC6CB7" w14:textId="77777777" w:rsidR="00D765C8" w:rsidRPr="00D765C8" w:rsidRDefault="00D765C8" w:rsidP="00D765C8">
      <w:pPr>
        <w:numPr>
          <w:ilvl w:val="0"/>
          <w:numId w:val="2"/>
        </w:numPr>
        <w:spacing w:after="0"/>
        <w:jc w:val="both"/>
      </w:pPr>
      <w:r w:rsidRPr="00D765C8">
        <w:lastRenderedPageBreak/>
        <w:t>zakupienie środka trwałego z udziałem środków unijnych lub/oraz dotacji z krajowych środków publicznych, a następnie rozliczenie kosztów amortyzacji tego środka trwałego w ramach tego samego projektu lub innych współfinansowanych ze środków Unii Europejskiej,</w:t>
      </w:r>
    </w:p>
    <w:p w14:paraId="49A37595" w14:textId="77777777" w:rsidR="00D765C8" w:rsidRPr="00D765C8" w:rsidRDefault="00D765C8" w:rsidP="00D765C8">
      <w:pPr>
        <w:spacing w:after="0"/>
        <w:ind w:left="720"/>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4"/>
      </w:tblGrid>
      <w:tr w:rsidR="00D765C8" w:rsidRPr="00D765C8" w14:paraId="78D817D7" w14:textId="77777777" w:rsidTr="00247EF6">
        <w:trPr>
          <w:trHeight w:val="1675"/>
        </w:trPr>
        <w:tc>
          <w:tcPr>
            <w:tcW w:w="9755" w:type="dxa"/>
            <w:shd w:val="clear" w:color="auto" w:fill="F2F2F2"/>
          </w:tcPr>
          <w:p w14:paraId="1EE2AB73" w14:textId="77777777" w:rsidR="00D765C8" w:rsidRPr="00D765C8" w:rsidRDefault="00D765C8" w:rsidP="00D765C8">
            <w:pPr>
              <w:spacing w:after="0"/>
              <w:jc w:val="both"/>
            </w:pPr>
            <w:r w:rsidRPr="00D765C8">
              <w:rPr>
                <w:b/>
              </w:rPr>
              <w:t>UWAGA!</w:t>
            </w:r>
            <w:r w:rsidRPr="00D765C8">
              <w:br/>
              <w:t>Oznacza to także, że niedozwolona jest sytuacja, w której najpierw środek trwały został nabyty z udziałem środków unijnych, a następnie odpisy amortyzacyjne od pełnej wartości danego środka trwałego zostały zaliczone do kosztów uzyskania przychodów, bez pomniejszenia wartości środka trwałego o otrzymane dofinansowanie.</w:t>
            </w:r>
          </w:p>
        </w:tc>
      </w:tr>
    </w:tbl>
    <w:p w14:paraId="151794BC" w14:textId="77777777" w:rsidR="00D765C8" w:rsidRPr="00D765C8" w:rsidRDefault="00D765C8" w:rsidP="00D765C8">
      <w:pPr>
        <w:spacing w:after="0"/>
        <w:ind w:left="720"/>
        <w:jc w:val="both"/>
      </w:pPr>
    </w:p>
    <w:p w14:paraId="44B1AD10" w14:textId="77777777" w:rsidR="00D765C8" w:rsidRPr="00D765C8" w:rsidRDefault="00D765C8" w:rsidP="00D765C8">
      <w:pPr>
        <w:numPr>
          <w:ilvl w:val="0"/>
          <w:numId w:val="2"/>
        </w:numPr>
        <w:spacing w:after="0"/>
        <w:jc w:val="both"/>
      </w:pPr>
      <w:r w:rsidRPr="00D765C8">
        <w:t>zrefundowanie wydatku poniesionego przez leasingodawcę na zakup przedmiotu leasingu w ramach leasingu finansowego, a następnie zrefundowanie rat opłacanych przez beneficjenta w związku z leasingiem tego przedmiotu,</w:t>
      </w:r>
    </w:p>
    <w:p w14:paraId="6F492490" w14:textId="77777777" w:rsidR="00D765C8" w:rsidRPr="00D765C8" w:rsidRDefault="00D765C8" w:rsidP="00D765C8">
      <w:pPr>
        <w:numPr>
          <w:ilvl w:val="0"/>
          <w:numId w:val="2"/>
        </w:numPr>
        <w:spacing w:after="0"/>
        <w:jc w:val="both"/>
      </w:pPr>
      <w:r w:rsidRPr="00D765C8">
        <w:t>sytuacja, w której środki na prefinansowanie wkładu unijnego zostały pozyskane w formie kredytu lub pożyczki, które następnie zostały umorzone,</w:t>
      </w:r>
    </w:p>
    <w:p w14:paraId="640C9BC6" w14:textId="77777777" w:rsidR="00D765C8" w:rsidRPr="00D765C8" w:rsidRDefault="00D765C8" w:rsidP="00D765C8">
      <w:pPr>
        <w:numPr>
          <w:ilvl w:val="0"/>
          <w:numId w:val="2"/>
        </w:numPr>
        <w:spacing w:after="0"/>
        <w:jc w:val="both"/>
      </w:pPr>
      <w:r w:rsidRPr="00D765C8">
        <w:t>objęcie kosztów kwalifikowalnych projektu jednocześnie wsparciem pożyczkowym i gwarancyjnym,</w:t>
      </w:r>
    </w:p>
    <w:p w14:paraId="52C0F7AF" w14:textId="77777777" w:rsidR="00D765C8" w:rsidRPr="00D765C8" w:rsidRDefault="00D765C8" w:rsidP="00D765C8">
      <w:pPr>
        <w:numPr>
          <w:ilvl w:val="0"/>
          <w:numId w:val="2"/>
        </w:numPr>
        <w:spacing w:after="0"/>
        <w:jc w:val="both"/>
      </w:pPr>
      <w:r w:rsidRPr="00D765C8">
        <w:t>zakup używanego środka trwałego, który w ciągu 7 poprzednich lat (10 lat dla nieruchomości) był współfinansowany ze środków Unii Europejskiej lub/oraz dotacji z krajowych środków publicznych,</w:t>
      </w:r>
    </w:p>
    <w:p w14:paraId="4FEADEF9" w14:textId="77777777" w:rsidR="00D765C8" w:rsidRPr="00D765C8" w:rsidRDefault="00D765C8" w:rsidP="00D765C8">
      <w:pPr>
        <w:numPr>
          <w:ilvl w:val="0"/>
          <w:numId w:val="2"/>
        </w:numPr>
        <w:spacing w:after="0"/>
        <w:jc w:val="both"/>
      </w:pPr>
      <w:r w:rsidRPr="00D765C8">
        <w:t>rozliczenie tego samego wydatku w kosztach pośrednich oraz kosztach bezpośrednich projektu.</w:t>
      </w:r>
    </w:p>
    <w:p w14:paraId="0078CD9A" w14:textId="77777777" w:rsidR="00D765C8" w:rsidRPr="00D765C8" w:rsidRDefault="00D765C8" w:rsidP="00D765C8">
      <w:pPr>
        <w:jc w:val="both"/>
      </w:pPr>
    </w:p>
    <w:p w14:paraId="7BE98ED3" w14:textId="77777777" w:rsidR="003F48CD" w:rsidRPr="00743F00" w:rsidRDefault="003F48CD" w:rsidP="003F48CD">
      <w:pPr>
        <w:pStyle w:val="Default"/>
        <w:spacing w:line="276" w:lineRule="auto"/>
        <w:jc w:val="both"/>
        <w:rPr>
          <w:rFonts w:asciiTheme="minorHAnsi" w:hAnsiTheme="minorHAnsi"/>
          <w:sz w:val="22"/>
          <w:szCs w:val="22"/>
        </w:rPr>
      </w:pPr>
    </w:p>
    <w:sectPr w:rsidR="003F48CD" w:rsidRPr="00743F00" w:rsidSect="005E010C">
      <w:headerReference w:type="first" r:id="rId8"/>
      <w:pgSz w:w="11906" w:h="16838"/>
      <w:pgMar w:top="1417" w:right="1417" w:bottom="1417" w:left="1417"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B2BF0" w14:textId="77777777" w:rsidR="009E2F19" w:rsidRPr="00A449D2" w:rsidRDefault="009E2F19" w:rsidP="00A449D2">
      <w:pPr>
        <w:spacing w:after="0" w:line="240" w:lineRule="auto"/>
      </w:pPr>
      <w:r>
        <w:separator/>
      </w:r>
    </w:p>
  </w:endnote>
  <w:endnote w:type="continuationSeparator" w:id="0">
    <w:p w14:paraId="68DE4ADA" w14:textId="77777777" w:rsidR="009E2F19" w:rsidRPr="00A449D2" w:rsidRDefault="009E2F19" w:rsidP="00A44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NimbusSanL-Regu">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201FB" w14:textId="77777777" w:rsidR="009E2F19" w:rsidRPr="00A449D2" w:rsidRDefault="009E2F19" w:rsidP="00A449D2">
      <w:pPr>
        <w:spacing w:after="0" w:line="240" w:lineRule="auto"/>
      </w:pPr>
      <w:r>
        <w:separator/>
      </w:r>
    </w:p>
  </w:footnote>
  <w:footnote w:type="continuationSeparator" w:id="0">
    <w:p w14:paraId="595365B2" w14:textId="77777777" w:rsidR="009E2F19" w:rsidRPr="00A449D2" w:rsidRDefault="009E2F19" w:rsidP="00A449D2">
      <w:pPr>
        <w:spacing w:after="0" w:line="240" w:lineRule="auto"/>
      </w:pPr>
      <w:r>
        <w:continuationSeparator/>
      </w:r>
    </w:p>
  </w:footnote>
  <w:footnote w:id="1">
    <w:p w14:paraId="357449F0" w14:textId="77777777" w:rsidR="00D765C8" w:rsidRPr="00B240EA" w:rsidRDefault="00D765C8" w:rsidP="00D765C8">
      <w:pPr>
        <w:pStyle w:val="Tekstprzypisudolnego"/>
        <w:spacing w:after="0" w:line="240" w:lineRule="auto"/>
        <w:jc w:val="both"/>
        <w:rPr>
          <w:sz w:val="18"/>
          <w:szCs w:val="18"/>
        </w:rPr>
      </w:pPr>
      <w:r w:rsidRPr="00B240EA">
        <w:rPr>
          <w:rStyle w:val="Odwoanieprzypisudolnego"/>
          <w:sz w:val="18"/>
          <w:szCs w:val="18"/>
        </w:rPr>
        <w:footnoteRef/>
      </w:r>
      <w:r w:rsidRPr="00B240EA">
        <w:rPr>
          <w:sz w:val="18"/>
          <w:szCs w:val="18"/>
        </w:rPr>
        <w:t xml:space="preserve"> Kwota stypendium jest kwotą brutto nieuwzględniającą składek na ubezpieczenie społeczne płaconych w całości przez płatnika, tj. podmiot kierujący na staż.</w:t>
      </w:r>
    </w:p>
  </w:footnote>
  <w:footnote w:id="2">
    <w:p w14:paraId="4945507C" w14:textId="77777777" w:rsidR="00D765C8" w:rsidRPr="00B240EA" w:rsidRDefault="00D765C8" w:rsidP="00D765C8">
      <w:pPr>
        <w:pStyle w:val="Tekstprzypisudolnego"/>
        <w:spacing w:after="0" w:line="240" w:lineRule="auto"/>
        <w:jc w:val="both"/>
        <w:rPr>
          <w:sz w:val="18"/>
          <w:szCs w:val="18"/>
        </w:rPr>
      </w:pPr>
      <w:r w:rsidRPr="00B240EA">
        <w:rPr>
          <w:rStyle w:val="Odwoanieprzypisudolnego"/>
          <w:sz w:val="18"/>
          <w:szCs w:val="18"/>
        </w:rPr>
        <w:footnoteRef/>
      </w:r>
      <w:r w:rsidRPr="00B240EA">
        <w:rPr>
          <w:sz w:val="18"/>
          <w:szCs w:val="18"/>
        </w:rPr>
        <w:t xml:space="preserve"> Z uwzględnieniem waloryzacji, o której mowa w art. 72 ust. 6 ustawy o promocji zatrudnienia i instytucjach rynku pracy.</w:t>
      </w:r>
    </w:p>
  </w:footnote>
  <w:footnote w:id="3">
    <w:p w14:paraId="032D7141" w14:textId="77777777" w:rsidR="00D765C8" w:rsidRPr="00690C0E" w:rsidRDefault="00D765C8" w:rsidP="00D765C8">
      <w:pPr>
        <w:pStyle w:val="Tekstprzypisudolnego"/>
        <w:spacing w:after="0" w:line="240" w:lineRule="auto"/>
        <w:jc w:val="both"/>
        <w:rPr>
          <w:sz w:val="18"/>
          <w:szCs w:val="18"/>
        </w:rPr>
      </w:pPr>
      <w:r w:rsidRPr="00B240EA">
        <w:rPr>
          <w:rStyle w:val="Odwoanieprzypisudolnego"/>
          <w:sz w:val="18"/>
          <w:szCs w:val="18"/>
        </w:rPr>
        <w:footnoteRef/>
      </w:r>
      <w:r w:rsidRPr="00B240EA">
        <w:rPr>
          <w:sz w:val="18"/>
          <w:szCs w:val="18"/>
        </w:rPr>
        <w:t xml:space="preserve"> W przypadku osób z niepełnosprawnością zaliczonych do znacznego lub umiarkowanego stopnia niepełnosprawności miesięczne stypendium przysługuje pod warunkiem, że miesięczna liczba godzin stażu wynosi nie mniej niż 140 godzin miesięcznie.</w:t>
      </w:r>
    </w:p>
  </w:footnote>
  <w:footnote w:id="4">
    <w:p w14:paraId="015E73AE" w14:textId="7899D326" w:rsidR="00D765C8" w:rsidRPr="00D00153" w:rsidRDefault="00D765C8" w:rsidP="00D765C8">
      <w:pPr>
        <w:pStyle w:val="Tekstprzypisudolnego"/>
        <w:spacing w:after="0" w:line="240" w:lineRule="auto"/>
        <w:jc w:val="both"/>
        <w:rPr>
          <w:sz w:val="18"/>
          <w:szCs w:val="18"/>
        </w:rPr>
      </w:pPr>
      <w:r w:rsidRPr="00D00153">
        <w:rPr>
          <w:rStyle w:val="Odwoanieprzypisudolnego"/>
          <w:sz w:val="18"/>
          <w:szCs w:val="18"/>
        </w:rPr>
        <w:footnoteRef/>
      </w:r>
      <w:r w:rsidRPr="00D00153">
        <w:rPr>
          <w:sz w:val="18"/>
          <w:szCs w:val="18"/>
        </w:rPr>
        <w:t xml:space="preserve"> W uzasadnionych przypadkach uczestnik może dobrowolnie zrezygnować z otrzymywania stypendium szkoleniowego w projekcie.</w:t>
      </w:r>
      <w:r w:rsidR="00D22550" w:rsidRPr="00D22550">
        <w:t xml:space="preserve"> </w:t>
      </w:r>
      <w:r w:rsidR="00D22550" w:rsidRPr="00D22550">
        <w:rPr>
          <w:sz w:val="18"/>
          <w:szCs w:val="18"/>
        </w:rPr>
        <w:t>Beneficjent jest zobowiązany</w:t>
      </w:r>
      <w:r w:rsidR="00D22550">
        <w:rPr>
          <w:sz w:val="18"/>
          <w:szCs w:val="18"/>
          <w:lang w:val="pl-PL"/>
        </w:rPr>
        <w:t xml:space="preserve"> </w:t>
      </w:r>
      <w:r w:rsidR="00D22550" w:rsidRPr="00D22550">
        <w:rPr>
          <w:sz w:val="18"/>
          <w:szCs w:val="18"/>
        </w:rPr>
        <w:t>do ubezpieczenia od następstw</w:t>
      </w:r>
      <w:r w:rsidR="00D22550">
        <w:rPr>
          <w:sz w:val="18"/>
          <w:szCs w:val="18"/>
          <w:lang w:val="pl-PL"/>
        </w:rPr>
        <w:t xml:space="preserve"> </w:t>
      </w:r>
      <w:r w:rsidR="00D22550" w:rsidRPr="00D22550">
        <w:rPr>
          <w:sz w:val="18"/>
          <w:szCs w:val="18"/>
        </w:rPr>
        <w:t>nieszczęśliwych</w:t>
      </w:r>
      <w:r w:rsidR="00D22550">
        <w:rPr>
          <w:sz w:val="18"/>
          <w:szCs w:val="18"/>
          <w:lang w:val="pl-PL"/>
        </w:rPr>
        <w:t xml:space="preserve"> </w:t>
      </w:r>
      <w:r w:rsidR="00D22550" w:rsidRPr="00D22550">
        <w:rPr>
          <w:sz w:val="18"/>
          <w:szCs w:val="18"/>
        </w:rPr>
        <w:t>wypadków uczestnika projektu w sytuacji rezygnacji ze stypendium.</w:t>
      </w:r>
    </w:p>
  </w:footnote>
  <w:footnote w:id="5">
    <w:p w14:paraId="1F887C02" w14:textId="77777777" w:rsidR="00D765C8" w:rsidRPr="00D00153" w:rsidRDefault="00D765C8" w:rsidP="00D765C8">
      <w:pPr>
        <w:pStyle w:val="Tekstprzypisudolnego"/>
        <w:spacing w:after="0" w:line="240" w:lineRule="auto"/>
        <w:jc w:val="both"/>
        <w:rPr>
          <w:sz w:val="18"/>
          <w:szCs w:val="18"/>
        </w:rPr>
      </w:pPr>
      <w:r w:rsidRPr="00D00153">
        <w:rPr>
          <w:sz w:val="18"/>
          <w:szCs w:val="18"/>
          <w:vertAlign w:val="superscript"/>
        </w:rPr>
        <w:footnoteRef/>
      </w:r>
      <w:r w:rsidRPr="00D00153">
        <w:rPr>
          <w:sz w:val="18"/>
          <w:szCs w:val="18"/>
        </w:rPr>
        <w:t xml:space="preserve"> Kwota stypendium jest kwotą brutto nieuwzględniającą składek na ubezpieczenie społeczne płaconych w całości przez płatnika, tj. podmiot kierujący na szkolenie.</w:t>
      </w:r>
    </w:p>
  </w:footnote>
  <w:footnote w:id="6">
    <w:p w14:paraId="520A2020" w14:textId="77777777" w:rsidR="00D765C8" w:rsidRPr="00D00153" w:rsidRDefault="00D765C8" w:rsidP="00D765C8">
      <w:pPr>
        <w:pStyle w:val="Tekstprzypisudolnego"/>
        <w:spacing w:after="0" w:line="240" w:lineRule="auto"/>
        <w:jc w:val="both"/>
        <w:rPr>
          <w:sz w:val="18"/>
          <w:szCs w:val="18"/>
        </w:rPr>
      </w:pPr>
      <w:r w:rsidRPr="00D00153">
        <w:rPr>
          <w:rStyle w:val="Odwoanieprzypisudolnego"/>
          <w:sz w:val="18"/>
          <w:szCs w:val="18"/>
        </w:rPr>
        <w:footnoteRef/>
      </w:r>
      <w:r w:rsidRPr="00D00153">
        <w:rPr>
          <w:sz w:val="18"/>
          <w:szCs w:val="18"/>
        </w:rPr>
        <w:t xml:space="preserve"> Z uwzględnieniem waloryzacji, o której mowa w art. 72 ust. 6 ustawy o promocji zatrudnienia i instytucjach rynku pracy.</w:t>
      </w:r>
    </w:p>
  </w:footnote>
  <w:footnote w:id="7">
    <w:p w14:paraId="697F5CA7" w14:textId="77777777" w:rsidR="00D765C8" w:rsidRPr="006908F6" w:rsidRDefault="00D765C8" w:rsidP="00D765C8">
      <w:pPr>
        <w:pStyle w:val="Tekstprzypisudolnego"/>
        <w:spacing w:line="240" w:lineRule="auto"/>
        <w:rPr>
          <w:sz w:val="16"/>
          <w:szCs w:val="16"/>
        </w:rPr>
      </w:pPr>
      <w:r w:rsidRPr="006908F6">
        <w:rPr>
          <w:rStyle w:val="Odwoanieprzypisudolnego"/>
          <w:sz w:val="16"/>
          <w:szCs w:val="16"/>
        </w:rPr>
        <w:footnoteRef/>
      </w:r>
      <w:r w:rsidRPr="006908F6">
        <w:rPr>
          <w:sz w:val="16"/>
          <w:szCs w:val="16"/>
        </w:rPr>
        <w:t xml:space="preserve"> W uzasadnionych przypadkach uczestnik może dobrowolnie zrezygnować z otrzymywania stypendium szkoleniowego w projekcie. Beneficjent jest zobowiązany do ubezpieczenia od następstw nieszczęśliwych wypadków uczestnika projektu w sytuacji rezygnacji ze stypendium.</w:t>
      </w:r>
    </w:p>
  </w:footnote>
  <w:footnote w:id="8">
    <w:p w14:paraId="56125FEA" w14:textId="77777777" w:rsidR="00D765C8" w:rsidRPr="006908F6" w:rsidRDefault="00D765C8" w:rsidP="00D765C8">
      <w:pPr>
        <w:pStyle w:val="Tekstprzypisudolnego"/>
        <w:spacing w:line="240" w:lineRule="auto"/>
        <w:rPr>
          <w:sz w:val="16"/>
          <w:szCs w:val="16"/>
        </w:rPr>
      </w:pPr>
      <w:r w:rsidRPr="006908F6">
        <w:rPr>
          <w:rStyle w:val="Odwoanieprzypisudolnego"/>
          <w:sz w:val="16"/>
          <w:szCs w:val="16"/>
        </w:rPr>
        <w:footnoteRef/>
      </w:r>
      <w:r w:rsidRPr="006908F6">
        <w:rPr>
          <w:sz w:val="16"/>
          <w:szCs w:val="16"/>
        </w:rPr>
        <w:t xml:space="preserve"> Kwota stypendium jest kwotą brutto nieuwzględniającą składek na ubezpieczenie społeczne i zdrowotne płaconych w całości przez płatnika ,tj. podmiot kierujący na szkolenie.</w:t>
      </w:r>
    </w:p>
  </w:footnote>
  <w:footnote w:id="9">
    <w:p w14:paraId="19F66768" w14:textId="77777777" w:rsidR="00D765C8" w:rsidRPr="006908F6" w:rsidRDefault="00D765C8" w:rsidP="00D765C8">
      <w:pPr>
        <w:pStyle w:val="Tekstprzypisudolnego"/>
        <w:spacing w:line="240" w:lineRule="auto"/>
        <w:rPr>
          <w:sz w:val="16"/>
          <w:szCs w:val="16"/>
        </w:rPr>
      </w:pPr>
      <w:r w:rsidRPr="006908F6">
        <w:rPr>
          <w:rStyle w:val="Odwoanieprzypisudolnego"/>
          <w:sz w:val="16"/>
          <w:szCs w:val="16"/>
        </w:rPr>
        <w:footnoteRef/>
      </w:r>
      <w:r w:rsidRPr="006908F6">
        <w:rPr>
          <w:sz w:val="16"/>
          <w:szCs w:val="16"/>
        </w:rPr>
        <w:t xml:space="preserve"> Z uwzględnieniem waloryzacji, o której mowa w art. 72 ust. 6 ustawy o promocji zatrudnienia i instytucjach rynku pracy.</w:t>
      </w:r>
    </w:p>
  </w:footnote>
  <w:footnote w:id="10">
    <w:p w14:paraId="1CE9BAA1" w14:textId="77777777" w:rsidR="00D765C8" w:rsidRDefault="00D765C8" w:rsidP="00D765C8">
      <w:pPr>
        <w:pStyle w:val="Tekstprzypisudolnego"/>
        <w:spacing w:line="240" w:lineRule="auto"/>
      </w:pPr>
      <w:r w:rsidRPr="006908F6">
        <w:rPr>
          <w:rStyle w:val="Odwoanieprzypisudolnego"/>
          <w:sz w:val="16"/>
          <w:szCs w:val="16"/>
        </w:rPr>
        <w:footnoteRef/>
      </w:r>
      <w:r w:rsidRPr="006908F6">
        <w:rPr>
          <w:sz w:val="16"/>
          <w:szCs w:val="16"/>
        </w:rPr>
        <w:t xml:space="preserve"> Zgodnie z art. 83 ust. 2 Ustawy z dnia 27 sierpnia 2004 roku o świadczeniach opieki zdrowotnej finansowanych ze środków publicznych w przypadku nieobliczania zaliczki na podatek dochodowy od osób fizycznych przez płatnika, od przychodów stanowiących podstawę wymiaru składki, zgodnie z przepisami Ustawy z dnia 26 lipca 1991 r. o podatku dochodowym od osób fizycznych, składkę na ubezpieczenie zdrowotne obliczoną za poszczególne miesiące obniża się do wysokości 0 zł.</w:t>
      </w:r>
    </w:p>
  </w:footnote>
  <w:footnote w:id="11">
    <w:p w14:paraId="4DA96EA8" w14:textId="77777777" w:rsidR="00D765C8" w:rsidRPr="00A4060A" w:rsidRDefault="00D765C8" w:rsidP="00D765C8">
      <w:pPr>
        <w:pStyle w:val="Tekstprzypisudolnego"/>
        <w:spacing w:after="0" w:line="240" w:lineRule="auto"/>
        <w:rPr>
          <w:sz w:val="16"/>
          <w:szCs w:val="16"/>
        </w:rPr>
      </w:pPr>
      <w:r w:rsidRPr="00A4060A">
        <w:rPr>
          <w:rStyle w:val="Odwoanieprzypisudolnego"/>
          <w:sz w:val="16"/>
          <w:szCs w:val="16"/>
        </w:rPr>
        <w:footnoteRef/>
      </w:r>
      <w:r w:rsidRPr="00A4060A">
        <w:rPr>
          <w:sz w:val="16"/>
          <w:szCs w:val="16"/>
        </w:rPr>
        <w:t xml:space="preserve"> Niepełna liczba godzin oznacza krótszy czas pracy uczestnika projektu odbywającego staż niż określony w rozporządzeniu Ministra Pracy i Polityki Społecznej z dnia 20 sierpnia 2009 r. w sprawie szczegółowych warunków odbywania stażu przez bezrobotnych. Realizacja stażu w elastycznych godzinach lub niepełnej liczbie godzin ma zastosowanie w odniesieniu do staży realizowanych na stanowiskach, dla których zostało to przewidziane zgodnie z zasadami obowiązującymi w podmiocie przyjmującym na staż.</w:t>
      </w:r>
    </w:p>
  </w:footnote>
  <w:footnote w:id="12">
    <w:p w14:paraId="7806F766" w14:textId="77777777" w:rsidR="00D765C8" w:rsidRPr="00A4060A" w:rsidRDefault="00D765C8" w:rsidP="00D765C8">
      <w:pPr>
        <w:pStyle w:val="Tekstprzypisudolnego"/>
        <w:spacing w:after="0" w:line="240" w:lineRule="auto"/>
        <w:rPr>
          <w:sz w:val="16"/>
          <w:szCs w:val="16"/>
        </w:rPr>
      </w:pPr>
      <w:r w:rsidRPr="00A4060A">
        <w:rPr>
          <w:rStyle w:val="Odwoanieprzypisudolnego"/>
          <w:sz w:val="16"/>
          <w:szCs w:val="16"/>
        </w:rPr>
        <w:footnoteRef/>
      </w:r>
      <w:r w:rsidRPr="00A4060A">
        <w:rPr>
          <w:sz w:val="16"/>
          <w:szCs w:val="16"/>
        </w:rPr>
        <w:t xml:space="preserve"> W uzasadnionych przypadkach uczestnik może dobrowolnie zrezygnować z otrzymywania stypendium stażowego w projekcie. Beneficjent jest zobowiązany do ubezpieczenia od następstw nieszczęśliwych wypadków uczestnika projektu w sytuacji rezygnacji ze stypendium.</w:t>
      </w:r>
    </w:p>
  </w:footnote>
  <w:footnote w:id="13">
    <w:p w14:paraId="3E4DF220" w14:textId="77777777" w:rsidR="00D765C8" w:rsidRPr="00A4060A" w:rsidRDefault="00D765C8" w:rsidP="00D765C8">
      <w:pPr>
        <w:pStyle w:val="Tekstprzypisudolnego"/>
        <w:spacing w:after="0" w:line="240" w:lineRule="auto"/>
        <w:rPr>
          <w:sz w:val="16"/>
          <w:szCs w:val="16"/>
        </w:rPr>
      </w:pPr>
      <w:r w:rsidRPr="00A4060A">
        <w:rPr>
          <w:rStyle w:val="Odwoanieprzypisudolnego"/>
          <w:sz w:val="16"/>
          <w:szCs w:val="16"/>
        </w:rPr>
        <w:footnoteRef/>
      </w:r>
      <w:r w:rsidRPr="00A4060A">
        <w:rPr>
          <w:sz w:val="16"/>
          <w:szCs w:val="16"/>
        </w:rPr>
        <w:t xml:space="preserve"> Z uwzględnieniem waloryzacji, o której mowa w art. 72 ust. 6 ustawy o promocji zatrudnienia i instytucjach rynku pracy.</w:t>
      </w:r>
    </w:p>
  </w:footnote>
  <w:footnote w:id="14">
    <w:p w14:paraId="4F4E8905" w14:textId="77777777" w:rsidR="00D765C8" w:rsidRPr="00A4060A" w:rsidRDefault="00D765C8" w:rsidP="00D765C8">
      <w:pPr>
        <w:pStyle w:val="Tekstprzypisudolnego"/>
        <w:spacing w:after="0" w:line="240" w:lineRule="auto"/>
        <w:rPr>
          <w:sz w:val="16"/>
          <w:szCs w:val="16"/>
        </w:rPr>
      </w:pPr>
      <w:r w:rsidRPr="00A4060A">
        <w:rPr>
          <w:rStyle w:val="Odwoanieprzypisudolnego"/>
          <w:sz w:val="16"/>
          <w:szCs w:val="16"/>
        </w:rPr>
        <w:footnoteRef/>
      </w:r>
      <w:r w:rsidRPr="00A4060A">
        <w:rPr>
          <w:sz w:val="16"/>
          <w:szCs w:val="16"/>
        </w:rPr>
        <w:t xml:space="preserve"> W przypadku osób z niepełnosprawnością zaliczonych do znacznego lub umiarkowanego stopnia niepełnosprawności miesięczne stypendium przysługuje pod warunkiem, że miesięczna liczba godzin stażu wynosi nie mniej niż 140 godzin miesięcznie. Ponadto, wskazany minimalny wymiar godzinowy nie ma zastosowania w odniesieniu do staży realizowanych na stanowiskach pracy, dla których przewidziano krótszy czas pracy zgodnie z obowiązującymi przepisami.</w:t>
      </w:r>
    </w:p>
  </w:footnote>
  <w:footnote w:id="15">
    <w:p w14:paraId="12EB6507" w14:textId="77777777" w:rsidR="00D765C8" w:rsidRDefault="00D765C8" w:rsidP="00D765C8">
      <w:pPr>
        <w:pStyle w:val="Tekstprzypisudolnego"/>
        <w:spacing w:line="240" w:lineRule="auto"/>
      </w:pPr>
      <w:r w:rsidRPr="00A4060A">
        <w:rPr>
          <w:rStyle w:val="Odwoanieprzypisudolnego"/>
          <w:sz w:val="16"/>
          <w:szCs w:val="16"/>
        </w:rPr>
        <w:footnoteRef/>
      </w:r>
      <w:r w:rsidRPr="00A4060A">
        <w:rPr>
          <w:sz w:val="16"/>
          <w:szCs w:val="16"/>
        </w:rPr>
        <w:t xml:space="preserve"> Kwota stypendium stażowego jest kwotą brutto nieuwzględniającą składek na ubezpieczenia społeczne płaconych w całości przez płatnika, tj. podmiot kierujący na staż.</w:t>
      </w:r>
    </w:p>
  </w:footnote>
  <w:footnote w:id="16">
    <w:p w14:paraId="6B8F79B5" w14:textId="77777777" w:rsidR="00D765C8" w:rsidRPr="004202CE" w:rsidRDefault="00D765C8" w:rsidP="00D765C8">
      <w:pPr>
        <w:pStyle w:val="Tekstprzypisudolnego"/>
        <w:spacing w:line="240" w:lineRule="auto"/>
        <w:rPr>
          <w:sz w:val="16"/>
          <w:szCs w:val="16"/>
        </w:rPr>
      </w:pPr>
      <w:r w:rsidRPr="004202CE">
        <w:rPr>
          <w:rStyle w:val="Odwoanieprzypisudolnego"/>
          <w:sz w:val="16"/>
          <w:szCs w:val="16"/>
        </w:rPr>
        <w:footnoteRef/>
      </w:r>
      <w:r w:rsidRPr="004202CE">
        <w:rPr>
          <w:sz w:val="16"/>
          <w:szCs w:val="16"/>
        </w:rPr>
        <w:t xml:space="preserve"> Zgodnie z art. 83 ust. 2 Ustawy z dnia 27 sierpnia 2004 roku o świadczeniach opieki zdrowotnej finansowanych ze środków publicznych w przypadku nieobliczania zaliczki na podatek dochodowy od osób fizycznych przez płatnika, od przychodów stanowiących podstawę wymiaru składki, zgodnie z przepisami Ustawy z dnia 26 lipca 1991 r. o podatku dochodowym od osób fizycznych, składkę na ubezpieczenie zdrowotne obliczoną za poszczególne miesiące obniża się do wysokości 0 zł.</w:t>
      </w:r>
    </w:p>
  </w:footnote>
  <w:footnote w:id="17">
    <w:p w14:paraId="7A3D0F7C" w14:textId="77777777" w:rsidR="00D765C8" w:rsidRPr="004202CE" w:rsidRDefault="00D765C8" w:rsidP="00D765C8">
      <w:pPr>
        <w:pStyle w:val="Tekstprzypisudolnego"/>
        <w:spacing w:after="0" w:line="240" w:lineRule="auto"/>
        <w:rPr>
          <w:sz w:val="16"/>
          <w:szCs w:val="16"/>
        </w:rPr>
      </w:pPr>
      <w:r w:rsidRPr="004202CE">
        <w:rPr>
          <w:rStyle w:val="Odwoanieprzypisudolnego"/>
          <w:sz w:val="16"/>
          <w:szCs w:val="16"/>
        </w:rPr>
        <w:footnoteRef/>
      </w:r>
      <w:r w:rsidRPr="004202CE">
        <w:rPr>
          <w:sz w:val="16"/>
          <w:szCs w:val="16"/>
        </w:rPr>
        <w:t xml:space="preserve"> Ocena zasadności wydatku związanego z wynagrodzeniem dokonywana jest zgodnie z Wytycznymi w zakresie kwalifikowalności wydatków w ramach Europejskiego Funduszu Rozwoju Regionalnego, Europejskiego Funduszu Społecznego oraz Funduszu Spójności na lata 2014 – 2020, Podrozdział6.2 Ocena kwalifikowalności wydatku.</w:t>
      </w:r>
    </w:p>
  </w:footnote>
  <w:footnote w:id="18">
    <w:p w14:paraId="61FF7009" w14:textId="2B215F4A" w:rsidR="00D765C8" w:rsidRPr="004202CE" w:rsidRDefault="00D765C8" w:rsidP="00D765C8">
      <w:pPr>
        <w:pStyle w:val="Tekstprzypisudolnego"/>
        <w:spacing w:after="0" w:line="240" w:lineRule="auto"/>
        <w:rPr>
          <w:sz w:val="16"/>
          <w:szCs w:val="16"/>
        </w:rPr>
      </w:pPr>
      <w:r w:rsidRPr="004202CE">
        <w:rPr>
          <w:rStyle w:val="Odwoanieprzypisudolnego"/>
          <w:sz w:val="16"/>
          <w:szCs w:val="16"/>
        </w:rPr>
        <w:footnoteRef/>
      </w:r>
      <w:r w:rsidRPr="004202CE">
        <w:rPr>
          <w:sz w:val="16"/>
          <w:szCs w:val="16"/>
        </w:rPr>
        <w:t xml:space="preserve"> Wysokość refundacji, o których mowa w punktach a – c naliczana jest proporcjonalnie do liczby godzin stażu zrealizowanego w danym miesiącu przez osoby odbywające staż. Liczba ta uwzględnia 2 dni wolne przysługujące osobie odbywającej staż, o których mowa w pkt. 9, z</w:t>
      </w:r>
      <w:r>
        <w:rPr>
          <w:sz w:val="16"/>
          <w:szCs w:val="16"/>
          <w:lang w:val="pl-PL"/>
        </w:rPr>
        <w:t> </w:t>
      </w:r>
      <w:r w:rsidRPr="004202CE">
        <w:rPr>
          <w:sz w:val="16"/>
          <w:szCs w:val="16"/>
        </w:rPr>
        <w:t>których skorzystanie nie pomniejsza wysokości refundacji.</w:t>
      </w:r>
    </w:p>
  </w:footnote>
  <w:footnote w:id="19">
    <w:p w14:paraId="1F79E13D" w14:textId="77777777" w:rsidR="00D765C8" w:rsidRDefault="00D765C8" w:rsidP="00D765C8">
      <w:pPr>
        <w:pStyle w:val="Tekstprzypisudolnego"/>
        <w:spacing w:after="0" w:line="240" w:lineRule="auto"/>
      </w:pPr>
      <w:r w:rsidRPr="004202CE">
        <w:rPr>
          <w:rStyle w:val="Odwoanieprzypisudolnego"/>
          <w:sz w:val="16"/>
          <w:szCs w:val="16"/>
        </w:rPr>
        <w:footnoteRef/>
      </w:r>
      <w:r w:rsidRPr="004202CE">
        <w:rPr>
          <w:sz w:val="16"/>
          <w:szCs w:val="16"/>
        </w:rPr>
        <w:t xml:space="preserve"> Taka forma refundacji nie przysługuje osobom prowadzącym jednoosobową działalność gospodarczą.</w:t>
      </w:r>
    </w:p>
  </w:footnote>
  <w:footnote w:id="20">
    <w:p w14:paraId="21C29E14" w14:textId="77777777" w:rsidR="00D765C8" w:rsidRDefault="00D765C8" w:rsidP="00D765C8">
      <w:pPr>
        <w:pStyle w:val="Tekstprzypisudolnego"/>
        <w:spacing w:after="0" w:line="240" w:lineRule="auto"/>
      </w:pPr>
      <w:r>
        <w:rPr>
          <w:rStyle w:val="Odwoanieprzypisudolnego"/>
        </w:rPr>
        <w:footnoteRef/>
      </w:r>
      <w:r>
        <w:t xml:space="preserve"> </w:t>
      </w:r>
      <w:r w:rsidRPr="00DE2D26">
        <w:rPr>
          <w:sz w:val="16"/>
          <w:szCs w:val="16"/>
        </w:rPr>
        <w:t>Kwoty wynagrodzenia opiekuna stażysty, o</w:t>
      </w:r>
      <w:r>
        <w:rPr>
          <w:sz w:val="16"/>
          <w:szCs w:val="16"/>
        </w:rPr>
        <w:t xml:space="preserve"> </w:t>
      </w:r>
      <w:r w:rsidRPr="00DE2D26">
        <w:rPr>
          <w:sz w:val="16"/>
          <w:szCs w:val="16"/>
        </w:rPr>
        <w:t>których mowa w tym rozdziale, nie uwzględniają kosztów po stronie pracodawcy.</w:t>
      </w:r>
    </w:p>
  </w:footnote>
  <w:footnote w:id="21">
    <w:p w14:paraId="42373298" w14:textId="77777777" w:rsidR="00D765C8" w:rsidRPr="000E69E8" w:rsidRDefault="00D765C8" w:rsidP="00D765C8">
      <w:pPr>
        <w:pStyle w:val="Tekstprzypisudolnego"/>
        <w:spacing w:after="0" w:line="240" w:lineRule="auto"/>
        <w:rPr>
          <w:sz w:val="16"/>
          <w:szCs w:val="16"/>
        </w:rPr>
      </w:pPr>
      <w:r>
        <w:rPr>
          <w:rStyle w:val="Odwoanieprzypisudolnego"/>
        </w:rPr>
        <w:footnoteRef/>
      </w:r>
      <w:r>
        <w:t xml:space="preserve"> </w:t>
      </w:r>
      <w:r w:rsidRPr="000E69E8">
        <w:rPr>
          <w:sz w:val="16"/>
          <w:szCs w:val="16"/>
        </w:rPr>
        <w:t>Taka forma refundacji nie przysługuje osobom prowadzącym jednoosobową działalność gospodarczą</w:t>
      </w:r>
      <w:r>
        <w:rPr>
          <w:sz w:val="16"/>
          <w:szCs w:val="16"/>
        </w:rPr>
        <w:t>.</w:t>
      </w:r>
    </w:p>
  </w:footnote>
  <w:footnote w:id="22">
    <w:p w14:paraId="5A9CB614" w14:textId="77777777" w:rsidR="00D765C8" w:rsidRPr="004702D3" w:rsidRDefault="00D765C8" w:rsidP="00D765C8">
      <w:pPr>
        <w:pStyle w:val="Tekstprzypisudolnego"/>
        <w:spacing w:after="0" w:line="240" w:lineRule="auto"/>
        <w:rPr>
          <w:sz w:val="16"/>
          <w:szCs w:val="16"/>
        </w:rPr>
      </w:pPr>
      <w:r>
        <w:rPr>
          <w:rStyle w:val="Odwoanieprzypisudolnego"/>
        </w:rPr>
        <w:footnoteRef/>
      </w:r>
      <w:r>
        <w:t xml:space="preserve"> </w:t>
      </w:r>
      <w:r w:rsidRPr="000E69E8">
        <w:rPr>
          <w:sz w:val="16"/>
          <w:szCs w:val="16"/>
        </w:rPr>
        <w:t>Dotyczy to zakupu materiałów ulegających zużyciu, wyczerpaniu lub degradacji w wyniku normalnej eksploatacji w</w:t>
      </w:r>
      <w:r>
        <w:rPr>
          <w:sz w:val="16"/>
          <w:szCs w:val="16"/>
        </w:rPr>
        <w:t xml:space="preserve"> </w:t>
      </w:r>
      <w:r w:rsidRPr="000E69E8">
        <w:rPr>
          <w:sz w:val="16"/>
          <w:szCs w:val="16"/>
        </w:rPr>
        <w:t>czasie realizacji zadań stażowych, w przypadku gdy brak ich finansowania w projekcie skutkowałby zubożeniem praktycznego wymiaru stażu; powinny to być wyłącznie materiały w ilości</w:t>
      </w:r>
      <w:r>
        <w:rPr>
          <w:sz w:val="16"/>
          <w:szCs w:val="16"/>
        </w:rPr>
        <w:t xml:space="preserve"> </w:t>
      </w:r>
      <w:r w:rsidRPr="000E69E8">
        <w:rPr>
          <w:sz w:val="16"/>
          <w:szCs w:val="16"/>
        </w:rPr>
        <w:t>niezbędnej i ściśle powiązanej z</w:t>
      </w:r>
      <w:r>
        <w:rPr>
          <w:sz w:val="16"/>
          <w:szCs w:val="16"/>
        </w:rPr>
        <w:t xml:space="preserve"> </w:t>
      </w:r>
      <w:r w:rsidRPr="000E69E8">
        <w:rPr>
          <w:sz w:val="16"/>
          <w:szCs w:val="16"/>
        </w:rPr>
        <w:t>programem kształcenia i</w:t>
      </w:r>
      <w:r>
        <w:rPr>
          <w:sz w:val="16"/>
          <w:szCs w:val="16"/>
        </w:rPr>
        <w:t xml:space="preserve"> </w:t>
      </w:r>
      <w:r w:rsidRPr="000E69E8">
        <w:rPr>
          <w:sz w:val="16"/>
          <w:szCs w:val="16"/>
        </w:rPr>
        <w:t>programem stażu.</w:t>
      </w:r>
    </w:p>
  </w:footnote>
  <w:footnote w:id="23">
    <w:p w14:paraId="4901F455" w14:textId="77777777" w:rsidR="00D765C8" w:rsidRPr="00790C12" w:rsidRDefault="00D765C8" w:rsidP="00D765C8">
      <w:pPr>
        <w:spacing w:after="0" w:line="240" w:lineRule="auto"/>
        <w:jc w:val="both"/>
        <w:rPr>
          <w:rFonts w:ascii="Calibri" w:hAnsi="Calibri"/>
          <w:sz w:val="18"/>
          <w:szCs w:val="18"/>
        </w:rPr>
      </w:pPr>
      <w:r w:rsidRPr="00790C12">
        <w:rPr>
          <w:rStyle w:val="Odwoanieprzypisudolnego"/>
          <w:rFonts w:ascii="Calibri" w:hAnsi="Calibri"/>
          <w:sz w:val="18"/>
          <w:szCs w:val="18"/>
        </w:rPr>
        <w:footnoteRef/>
      </w:r>
      <w:r w:rsidRPr="00790C12">
        <w:rPr>
          <w:rFonts w:ascii="Calibri" w:hAnsi="Calibri"/>
          <w:sz w:val="18"/>
          <w:szCs w:val="18"/>
        </w:rPr>
        <w:t xml:space="preserve"> Środki trwałe - zgodnie z art. 3 ust. 1 pkt 15 ustawy z dnia 29 września 1994 r. o rachunkowości, z zastrzeżeniem inwestycji, o których mowa w art. 3 ust. 1 pkt 17 tej ustawy, rzeczowe aktywa trwałe i zrównane z nimi o przewidywanym okresie ekonomicznej użyteczności dłuższym niż rok, kompletne, zdatne do użytku i przeznaczone na potrzeby jednostki organizacyjnej; zalicza się do nich w szczególności: nieruchomości – w tym grunty, prawo użytkowania wieczystego gruntu, budynki i budowle, a także będące odrębną własności lokale, spółdzielcze prawo własnościowe do lokalu mieszkalnego oraz spółdzielcze prawo do lokalu użytkowego, maszyny, urządzenia, środki transportu i inne rzeczy, ulepszenia w obcych środkach trwałych, inwentarz żywy. </w:t>
      </w:r>
    </w:p>
  </w:footnote>
  <w:footnote w:id="24">
    <w:p w14:paraId="6B073D43" w14:textId="77777777" w:rsidR="00D765C8" w:rsidRPr="00695713" w:rsidRDefault="00D765C8" w:rsidP="00D765C8">
      <w:pPr>
        <w:pStyle w:val="Tekstprzypisudolnego"/>
        <w:jc w:val="both"/>
        <w:rPr>
          <w:rFonts w:ascii="Times New Roman" w:hAnsi="Times New Roman"/>
          <w:sz w:val="16"/>
          <w:szCs w:val="16"/>
        </w:rPr>
      </w:pPr>
      <w:r w:rsidRPr="00790C12">
        <w:rPr>
          <w:rStyle w:val="Odwoanieprzypisudolnego"/>
          <w:sz w:val="18"/>
          <w:szCs w:val="18"/>
        </w:rPr>
        <w:footnoteRef/>
      </w:r>
      <w:r w:rsidRPr="00790C12">
        <w:rPr>
          <w:sz w:val="18"/>
          <w:szCs w:val="18"/>
        </w:rPr>
        <w:t xml:space="preserve"> Z wyłączeniem sytuacji, w których beneficjenci będący jednostkami spoza sektora finansów publicznych będą wnosić do projektu wkład własny w postaci środków trwałych.</w:t>
      </w:r>
      <w:r w:rsidRPr="00695713">
        <w:rPr>
          <w:rFonts w:ascii="Times New Roman" w:hAnsi="Times New Roman"/>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09841" w14:textId="77777777" w:rsidR="005E010C" w:rsidRDefault="005E010C">
    <w:pPr>
      <w:pStyle w:val="Nagwek"/>
    </w:pPr>
    <w:r w:rsidRPr="003F48CD">
      <w:rPr>
        <w:noProof/>
        <w:lang w:eastAsia="pl-PL"/>
      </w:rPr>
      <w:drawing>
        <wp:inline distT="0" distB="0" distL="0" distR="0" wp14:anchorId="4A76C11B" wp14:editId="48DAF409">
          <wp:extent cx="5760720" cy="817245"/>
          <wp:effectExtent l="0" t="0" r="0" b="1905"/>
          <wp:docPr id="1" name="Obraz 1" descr="C:\Users\a.luczak\AppData\Local\Microsoft\Windows\Temporary Internet Files\Content.Outlook\7IP7UV0Z\poziom_achromat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czak\AppData\Local\Microsoft\Windows\Temporary Internet Files\Content.Outlook\7IP7UV0Z\poziom_achromat (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8172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2D3"/>
    <w:multiLevelType w:val="hybridMultilevel"/>
    <w:tmpl w:val="BE205F0E"/>
    <w:lvl w:ilvl="0" w:tplc="0FB64002">
      <w:start w:val="1"/>
      <w:numFmt w:val="decimal"/>
      <w:lvlText w:val="%1."/>
      <w:lvlJc w:val="left"/>
      <w:pPr>
        <w:ind w:left="360" w:hanging="360"/>
      </w:pPr>
      <w:rPr>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060A6BC5"/>
    <w:multiLevelType w:val="hybridMultilevel"/>
    <w:tmpl w:val="F810315E"/>
    <w:lvl w:ilvl="0" w:tplc="853E04C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 w15:restartNumberingAfterBreak="0">
    <w:nsid w:val="186D39C9"/>
    <w:multiLevelType w:val="hybridMultilevel"/>
    <w:tmpl w:val="6AF0D86A"/>
    <w:lvl w:ilvl="0" w:tplc="D4A2D2E6">
      <w:start w:val="1"/>
      <w:numFmt w:val="decimal"/>
      <w:lvlText w:val="%1."/>
      <w:lvlJc w:val="left"/>
      <w:pPr>
        <w:ind w:left="360" w:hanging="360"/>
      </w:pPr>
      <w:rPr>
        <w:rFonts w:asciiTheme="minorHAnsi" w:eastAsiaTheme="minorHAnsi" w:hAnsiTheme="minorHAnsi" w:cstheme="minorBidi"/>
        <w:b w:val="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1DAC19BC"/>
    <w:multiLevelType w:val="hybridMultilevel"/>
    <w:tmpl w:val="071AE1D0"/>
    <w:lvl w:ilvl="0" w:tplc="04150017">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42711EDE"/>
    <w:multiLevelType w:val="hybridMultilevel"/>
    <w:tmpl w:val="AEA43842"/>
    <w:lvl w:ilvl="0" w:tplc="269A2D3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3431365"/>
    <w:multiLevelType w:val="hybridMultilevel"/>
    <w:tmpl w:val="BB5E7AF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B473507"/>
    <w:multiLevelType w:val="hybridMultilevel"/>
    <w:tmpl w:val="05BAEA2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C5631B2"/>
    <w:multiLevelType w:val="hybridMultilevel"/>
    <w:tmpl w:val="59BAA26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33F5245"/>
    <w:multiLevelType w:val="hybridMultilevel"/>
    <w:tmpl w:val="F3F81F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57808ED"/>
    <w:multiLevelType w:val="hybridMultilevel"/>
    <w:tmpl w:val="62F26E6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93F5C8E"/>
    <w:multiLevelType w:val="hybridMultilevel"/>
    <w:tmpl w:val="0BBEBAB6"/>
    <w:lvl w:ilvl="0" w:tplc="04150017">
      <w:start w:val="1"/>
      <w:numFmt w:val="lowerLetter"/>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F65340F"/>
    <w:multiLevelType w:val="hybridMultilevel"/>
    <w:tmpl w:val="C87EFE8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0"/>
  </w:num>
  <w:num w:numId="2">
    <w:abstractNumId w:val="4"/>
  </w:num>
  <w:num w:numId="3">
    <w:abstractNumId w:val="8"/>
  </w:num>
  <w:num w:numId="4">
    <w:abstractNumId w:val="1"/>
  </w:num>
  <w:num w:numId="5">
    <w:abstractNumId w:val="9"/>
  </w:num>
  <w:num w:numId="6">
    <w:abstractNumId w:val="7"/>
  </w:num>
  <w:num w:numId="7">
    <w:abstractNumId w:val="2"/>
  </w:num>
  <w:num w:numId="8">
    <w:abstractNumId w:val="0"/>
  </w:num>
  <w:num w:numId="9">
    <w:abstractNumId w:val="3"/>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EE7"/>
    <w:rsid w:val="000020FD"/>
    <w:rsid w:val="000234B2"/>
    <w:rsid w:val="00024D90"/>
    <w:rsid w:val="00026E9B"/>
    <w:rsid w:val="000426A4"/>
    <w:rsid w:val="00061B95"/>
    <w:rsid w:val="00063790"/>
    <w:rsid w:val="00066EAF"/>
    <w:rsid w:val="000706E9"/>
    <w:rsid w:val="000B430D"/>
    <w:rsid w:val="000B5C15"/>
    <w:rsid w:val="000D063A"/>
    <w:rsid w:val="000E003F"/>
    <w:rsid w:val="000E09E1"/>
    <w:rsid w:val="000E50A3"/>
    <w:rsid w:val="000E7CF2"/>
    <w:rsid w:val="000F228E"/>
    <w:rsid w:val="000F77E7"/>
    <w:rsid w:val="00101B1E"/>
    <w:rsid w:val="00107343"/>
    <w:rsid w:val="00113AF7"/>
    <w:rsid w:val="0011616B"/>
    <w:rsid w:val="001250C4"/>
    <w:rsid w:val="00126AA3"/>
    <w:rsid w:val="001329B9"/>
    <w:rsid w:val="00135DEE"/>
    <w:rsid w:val="001378B1"/>
    <w:rsid w:val="00142096"/>
    <w:rsid w:val="001457B7"/>
    <w:rsid w:val="00146641"/>
    <w:rsid w:val="001552BC"/>
    <w:rsid w:val="00186DC3"/>
    <w:rsid w:val="00187D0D"/>
    <w:rsid w:val="00194B9B"/>
    <w:rsid w:val="001B2E2E"/>
    <w:rsid w:val="001B5959"/>
    <w:rsid w:val="001C0525"/>
    <w:rsid w:val="001C645B"/>
    <w:rsid w:val="001C7AD2"/>
    <w:rsid w:val="001D741C"/>
    <w:rsid w:val="001E2AA8"/>
    <w:rsid w:val="001F0233"/>
    <w:rsid w:val="001F08D9"/>
    <w:rsid w:val="001F4246"/>
    <w:rsid w:val="00206F1B"/>
    <w:rsid w:val="0021033D"/>
    <w:rsid w:val="00227784"/>
    <w:rsid w:val="00231098"/>
    <w:rsid w:val="0024013C"/>
    <w:rsid w:val="00250DB2"/>
    <w:rsid w:val="00261415"/>
    <w:rsid w:val="00277447"/>
    <w:rsid w:val="00284C9C"/>
    <w:rsid w:val="00284CE0"/>
    <w:rsid w:val="00293DCB"/>
    <w:rsid w:val="002B2FF5"/>
    <w:rsid w:val="002E3347"/>
    <w:rsid w:val="002E6C6B"/>
    <w:rsid w:val="003007C0"/>
    <w:rsid w:val="00302BDD"/>
    <w:rsid w:val="00312F1A"/>
    <w:rsid w:val="0031425A"/>
    <w:rsid w:val="00316BCF"/>
    <w:rsid w:val="00317BB1"/>
    <w:rsid w:val="00320698"/>
    <w:rsid w:val="00326E37"/>
    <w:rsid w:val="00330C45"/>
    <w:rsid w:val="003324D8"/>
    <w:rsid w:val="00340ADB"/>
    <w:rsid w:val="00344FC2"/>
    <w:rsid w:val="00360451"/>
    <w:rsid w:val="003701ED"/>
    <w:rsid w:val="0037725C"/>
    <w:rsid w:val="00380438"/>
    <w:rsid w:val="003C7367"/>
    <w:rsid w:val="003D6FC7"/>
    <w:rsid w:val="003E370F"/>
    <w:rsid w:val="003F102F"/>
    <w:rsid w:val="003F48CD"/>
    <w:rsid w:val="003F4B5A"/>
    <w:rsid w:val="003F7936"/>
    <w:rsid w:val="00400EE6"/>
    <w:rsid w:val="00415F82"/>
    <w:rsid w:val="00430D91"/>
    <w:rsid w:val="00437D2C"/>
    <w:rsid w:val="00440B40"/>
    <w:rsid w:val="004463B3"/>
    <w:rsid w:val="00447028"/>
    <w:rsid w:val="00451B06"/>
    <w:rsid w:val="004718E5"/>
    <w:rsid w:val="004744C9"/>
    <w:rsid w:val="00481DCC"/>
    <w:rsid w:val="004829D4"/>
    <w:rsid w:val="004A2FAC"/>
    <w:rsid w:val="004C5CCF"/>
    <w:rsid w:val="004C7E68"/>
    <w:rsid w:val="004D39B1"/>
    <w:rsid w:val="004D5E58"/>
    <w:rsid w:val="004E4178"/>
    <w:rsid w:val="00512245"/>
    <w:rsid w:val="0052415F"/>
    <w:rsid w:val="00534339"/>
    <w:rsid w:val="005478C4"/>
    <w:rsid w:val="00552C8F"/>
    <w:rsid w:val="00555B63"/>
    <w:rsid w:val="00582C3B"/>
    <w:rsid w:val="005A7498"/>
    <w:rsid w:val="005B5B5F"/>
    <w:rsid w:val="005C007F"/>
    <w:rsid w:val="005C148A"/>
    <w:rsid w:val="005D1BE0"/>
    <w:rsid w:val="005D65CA"/>
    <w:rsid w:val="005D7716"/>
    <w:rsid w:val="005E0052"/>
    <w:rsid w:val="005E010C"/>
    <w:rsid w:val="005E30F2"/>
    <w:rsid w:val="005E4044"/>
    <w:rsid w:val="005E4954"/>
    <w:rsid w:val="005E4F96"/>
    <w:rsid w:val="00611C64"/>
    <w:rsid w:val="00636C2C"/>
    <w:rsid w:val="006425F8"/>
    <w:rsid w:val="006452CF"/>
    <w:rsid w:val="00646734"/>
    <w:rsid w:val="00647A5C"/>
    <w:rsid w:val="00651ACB"/>
    <w:rsid w:val="00657967"/>
    <w:rsid w:val="0066584D"/>
    <w:rsid w:val="00667C73"/>
    <w:rsid w:val="0069292A"/>
    <w:rsid w:val="006A4596"/>
    <w:rsid w:val="006B1E5B"/>
    <w:rsid w:val="006B7152"/>
    <w:rsid w:val="006B764E"/>
    <w:rsid w:val="006C1CDA"/>
    <w:rsid w:val="006C721E"/>
    <w:rsid w:val="006D20E2"/>
    <w:rsid w:val="006D39B5"/>
    <w:rsid w:val="006E29A5"/>
    <w:rsid w:val="006E55B1"/>
    <w:rsid w:val="006E789B"/>
    <w:rsid w:val="006F6AFC"/>
    <w:rsid w:val="00704A09"/>
    <w:rsid w:val="007115BD"/>
    <w:rsid w:val="00712236"/>
    <w:rsid w:val="00717C32"/>
    <w:rsid w:val="0072338C"/>
    <w:rsid w:val="00743F00"/>
    <w:rsid w:val="00755573"/>
    <w:rsid w:val="00757796"/>
    <w:rsid w:val="00761823"/>
    <w:rsid w:val="007655B7"/>
    <w:rsid w:val="007857FB"/>
    <w:rsid w:val="00790C12"/>
    <w:rsid w:val="00790D95"/>
    <w:rsid w:val="007B1EA0"/>
    <w:rsid w:val="007B4F28"/>
    <w:rsid w:val="007B53A9"/>
    <w:rsid w:val="007C4DF2"/>
    <w:rsid w:val="007C5A4C"/>
    <w:rsid w:val="007D52C8"/>
    <w:rsid w:val="007D708A"/>
    <w:rsid w:val="007E0D58"/>
    <w:rsid w:val="007F00AC"/>
    <w:rsid w:val="007F1A33"/>
    <w:rsid w:val="007F51A0"/>
    <w:rsid w:val="0080082E"/>
    <w:rsid w:val="00832770"/>
    <w:rsid w:val="00833D78"/>
    <w:rsid w:val="00836AF9"/>
    <w:rsid w:val="00854016"/>
    <w:rsid w:val="00854309"/>
    <w:rsid w:val="00882A59"/>
    <w:rsid w:val="00894657"/>
    <w:rsid w:val="008974D1"/>
    <w:rsid w:val="008A0FB1"/>
    <w:rsid w:val="008A13A2"/>
    <w:rsid w:val="008B7F80"/>
    <w:rsid w:val="008C1A4D"/>
    <w:rsid w:val="008D2047"/>
    <w:rsid w:val="008D667A"/>
    <w:rsid w:val="008E4ADA"/>
    <w:rsid w:val="008E519C"/>
    <w:rsid w:val="008F5344"/>
    <w:rsid w:val="00926F59"/>
    <w:rsid w:val="00942450"/>
    <w:rsid w:val="00947BA1"/>
    <w:rsid w:val="00950AA7"/>
    <w:rsid w:val="0096141D"/>
    <w:rsid w:val="00964F85"/>
    <w:rsid w:val="00966023"/>
    <w:rsid w:val="009662BC"/>
    <w:rsid w:val="0097195D"/>
    <w:rsid w:val="00984130"/>
    <w:rsid w:val="009908DF"/>
    <w:rsid w:val="00995DB0"/>
    <w:rsid w:val="00996E39"/>
    <w:rsid w:val="009B7085"/>
    <w:rsid w:val="009D4D3C"/>
    <w:rsid w:val="009E2F19"/>
    <w:rsid w:val="009E4220"/>
    <w:rsid w:val="009F4CA4"/>
    <w:rsid w:val="00A151F6"/>
    <w:rsid w:val="00A215A1"/>
    <w:rsid w:val="00A26A9E"/>
    <w:rsid w:val="00A27CA6"/>
    <w:rsid w:val="00A35ACC"/>
    <w:rsid w:val="00A40CD2"/>
    <w:rsid w:val="00A449D2"/>
    <w:rsid w:val="00A51F26"/>
    <w:rsid w:val="00A77B9D"/>
    <w:rsid w:val="00A945FF"/>
    <w:rsid w:val="00A96B87"/>
    <w:rsid w:val="00AA1BB1"/>
    <w:rsid w:val="00AA63D8"/>
    <w:rsid w:val="00AB1EDC"/>
    <w:rsid w:val="00AB4A3E"/>
    <w:rsid w:val="00AC0B2F"/>
    <w:rsid w:val="00AD0FE5"/>
    <w:rsid w:val="00AD1845"/>
    <w:rsid w:val="00AD1A6C"/>
    <w:rsid w:val="00B04F53"/>
    <w:rsid w:val="00B07242"/>
    <w:rsid w:val="00B27F6F"/>
    <w:rsid w:val="00B30923"/>
    <w:rsid w:val="00B32E65"/>
    <w:rsid w:val="00B33039"/>
    <w:rsid w:val="00B35EE7"/>
    <w:rsid w:val="00B41730"/>
    <w:rsid w:val="00B50B9A"/>
    <w:rsid w:val="00B578F6"/>
    <w:rsid w:val="00B6299A"/>
    <w:rsid w:val="00B62E6D"/>
    <w:rsid w:val="00B73D9C"/>
    <w:rsid w:val="00B8090E"/>
    <w:rsid w:val="00B912C3"/>
    <w:rsid w:val="00BA7C53"/>
    <w:rsid w:val="00BB7AED"/>
    <w:rsid w:val="00BC1171"/>
    <w:rsid w:val="00C072A6"/>
    <w:rsid w:val="00C07D73"/>
    <w:rsid w:val="00C1292F"/>
    <w:rsid w:val="00C154E8"/>
    <w:rsid w:val="00C2245F"/>
    <w:rsid w:val="00C22CA5"/>
    <w:rsid w:val="00C32BFF"/>
    <w:rsid w:val="00C32DCC"/>
    <w:rsid w:val="00C55A7A"/>
    <w:rsid w:val="00C55CE4"/>
    <w:rsid w:val="00C64746"/>
    <w:rsid w:val="00C7029D"/>
    <w:rsid w:val="00C70D2D"/>
    <w:rsid w:val="00C94DFF"/>
    <w:rsid w:val="00C953F9"/>
    <w:rsid w:val="00CB32ED"/>
    <w:rsid w:val="00CC1DAD"/>
    <w:rsid w:val="00CC3D0C"/>
    <w:rsid w:val="00CD29AC"/>
    <w:rsid w:val="00D01249"/>
    <w:rsid w:val="00D02FEF"/>
    <w:rsid w:val="00D12B39"/>
    <w:rsid w:val="00D22550"/>
    <w:rsid w:val="00D35AEC"/>
    <w:rsid w:val="00D3622F"/>
    <w:rsid w:val="00D50047"/>
    <w:rsid w:val="00D52168"/>
    <w:rsid w:val="00D55E1F"/>
    <w:rsid w:val="00D6604D"/>
    <w:rsid w:val="00D765C8"/>
    <w:rsid w:val="00D81C36"/>
    <w:rsid w:val="00D82A7A"/>
    <w:rsid w:val="00D944E4"/>
    <w:rsid w:val="00D96410"/>
    <w:rsid w:val="00DA1462"/>
    <w:rsid w:val="00DA3053"/>
    <w:rsid w:val="00DD5AD2"/>
    <w:rsid w:val="00DD738D"/>
    <w:rsid w:val="00DE086C"/>
    <w:rsid w:val="00E02C7C"/>
    <w:rsid w:val="00E07984"/>
    <w:rsid w:val="00E31F1E"/>
    <w:rsid w:val="00E32BAB"/>
    <w:rsid w:val="00E4170A"/>
    <w:rsid w:val="00E4630A"/>
    <w:rsid w:val="00E5287E"/>
    <w:rsid w:val="00E701DA"/>
    <w:rsid w:val="00E774D0"/>
    <w:rsid w:val="00E92BC5"/>
    <w:rsid w:val="00EB032C"/>
    <w:rsid w:val="00EB1203"/>
    <w:rsid w:val="00EB1FB1"/>
    <w:rsid w:val="00EC28DB"/>
    <w:rsid w:val="00ED12FD"/>
    <w:rsid w:val="00ED6F64"/>
    <w:rsid w:val="00ED73D7"/>
    <w:rsid w:val="00EE3BC9"/>
    <w:rsid w:val="00EF4346"/>
    <w:rsid w:val="00F056C9"/>
    <w:rsid w:val="00F20DE1"/>
    <w:rsid w:val="00F2591B"/>
    <w:rsid w:val="00F36959"/>
    <w:rsid w:val="00F4165D"/>
    <w:rsid w:val="00F51CCE"/>
    <w:rsid w:val="00F95A14"/>
    <w:rsid w:val="00FA57D1"/>
    <w:rsid w:val="00FA5BDF"/>
    <w:rsid w:val="00FB1BB7"/>
    <w:rsid w:val="00FC27B5"/>
    <w:rsid w:val="00FC792B"/>
    <w:rsid w:val="00FE0C3B"/>
    <w:rsid w:val="00FE12B4"/>
    <w:rsid w:val="00FE1A25"/>
    <w:rsid w:val="00FE60DC"/>
    <w:rsid w:val="00FE70C3"/>
    <w:rsid w:val="00FF1937"/>
    <w:rsid w:val="00FF20B2"/>
    <w:rsid w:val="00FF24DA"/>
    <w:rsid w:val="00FF66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9A07"/>
  <w15:docId w15:val="{F95CFF27-F1F0-485D-82B0-52E97D44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93DCB"/>
  </w:style>
  <w:style w:type="paragraph" w:styleId="Nagwek3">
    <w:name w:val="heading 3"/>
    <w:basedOn w:val="Normalny"/>
    <w:next w:val="Normalny"/>
    <w:link w:val="Nagwek3Znak"/>
    <w:uiPriority w:val="99"/>
    <w:qFormat/>
    <w:rsid w:val="00947BA1"/>
    <w:pPr>
      <w:keepNext/>
      <w:autoSpaceDE w:val="0"/>
      <w:autoSpaceDN w:val="0"/>
      <w:spacing w:after="0"/>
      <w:jc w:val="both"/>
      <w:outlineLvl w:val="2"/>
    </w:pPr>
    <w:rPr>
      <w:rFonts w:ascii="Calibri" w:eastAsia="Times New Roman" w:hAnsi="Calibri" w:cs="Times New Roman"/>
      <w:b/>
      <w:bCs/>
      <w:sz w:val="24"/>
      <w:szCs w:val="24"/>
      <w:lang w:val="x-none" w:eastAsia="x-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link w:val="DefaultZnak"/>
    <w:qFormat/>
    <w:rsid w:val="00B35EE7"/>
    <w:pPr>
      <w:autoSpaceDE w:val="0"/>
      <w:autoSpaceDN w:val="0"/>
      <w:adjustRightInd w:val="0"/>
      <w:spacing w:after="0" w:line="240" w:lineRule="auto"/>
    </w:pPr>
    <w:rPr>
      <w:rFonts w:ascii="Calibri" w:hAnsi="Calibri" w:cs="Calibri"/>
      <w:color w:val="000000"/>
      <w:sz w:val="24"/>
      <w:szCs w:val="24"/>
    </w:rPr>
  </w:style>
  <w:style w:type="paragraph" w:styleId="Nagwek">
    <w:name w:val="header"/>
    <w:basedOn w:val="Normalny"/>
    <w:link w:val="NagwekZnak"/>
    <w:uiPriority w:val="99"/>
    <w:unhideWhenUsed/>
    <w:rsid w:val="00A449D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449D2"/>
  </w:style>
  <w:style w:type="paragraph" w:styleId="Stopka">
    <w:name w:val="footer"/>
    <w:basedOn w:val="Normalny"/>
    <w:link w:val="StopkaZnak"/>
    <w:uiPriority w:val="99"/>
    <w:unhideWhenUsed/>
    <w:rsid w:val="00A449D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449D2"/>
  </w:style>
  <w:style w:type="paragraph" w:styleId="Tekstdymka">
    <w:name w:val="Balloon Text"/>
    <w:basedOn w:val="Normalny"/>
    <w:link w:val="TekstdymkaZnak"/>
    <w:uiPriority w:val="99"/>
    <w:semiHidden/>
    <w:unhideWhenUsed/>
    <w:rsid w:val="00A449D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449D2"/>
    <w:rPr>
      <w:rFonts w:ascii="Tahoma" w:hAnsi="Tahoma" w:cs="Tahoma"/>
      <w:sz w:val="16"/>
      <w:szCs w:val="16"/>
    </w:rPr>
  </w:style>
  <w:style w:type="character" w:styleId="Odwoaniedokomentarza">
    <w:name w:val="annotation reference"/>
    <w:basedOn w:val="Domylnaczcionkaakapitu"/>
    <w:uiPriority w:val="99"/>
    <w:unhideWhenUsed/>
    <w:rsid w:val="005C007F"/>
    <w:rPr>
      <w:sz w:val="16"/>
      <w:szCs w:val="16"/>
    </w:rPr>
  </w:style>
  <w:style w:type="paragraph" w:styleId="Tekstkomentarza">
    <w:name w:val="annotation text"/>
    <w:basedOn w:val="Normalny"/>
    <w:link w:val="TekstkomentarzaZnak"/>
    <w:uiPriority w:val="99"/>
    <w:unhideWhenUsed/>
    <w:rsid w:val="005C007F"/>
    <w:pPr>
      <w:spacing w:line="240" w:lineRule="auto"/>
    </w:pPr>
    <w:rPr>
      <w:sz w:val="20"/>
      <w:szCs w:val="20"/>
    </w:rPr>
  </w:style>
  <w:style w:type="character" w:customStyle="1" w:styleId="TekstkomentarzaZnak">
    <w:name w:val="Tekst komentarza Znak"/>
    <w:basedOn w:val="Domylnaczcionkaakapitu"/>
    <w:link w:val="Tekstkomentarza"/>
    <w:uiPriority w:val="99"/>
    <w:rsid w:val="005C007F"/>
    <w:rPr>
      <w:sz w:val="20"/>
      <w:szCs w:val="20"/>
    </w:rPr>
  </w:style>
  <w:style w:type="paragraph" w:styleId="Tematkomentarza">
    <w:name w:val="annotation subject"/>
    <w:basedOn w:val="Tekstkomentarza"/>
    <w:next w:val="Tekstkomentarza"/>
    <w:link w:val="TematkomentarzaZnak"/>
    <w:uiPriority w:val="99"/>
    <w:semiHidden/>
    <w:unhideWhenUsed/>
    <w:rsid w:val="005C007F"/>
    <w:rPr>
      <w:b/>
      <w:bCs/>
    </w:rPr>
  </w:style>
  <w:style w:type="character" w:customStyle="1" w:styleId="TematkomentarzaZnak">
    <w:name w:val="Temat komentarza Znak"/>
    <w:basedOn w:val="TekstkomentarzaZnak"/>
    <w:link w:val="Tematkomentarza"/>
    <w:uiPriority w:val="99"/>
    <w:semiHidden/>
    <w:rsid w:val="005C007F"/>
    <w:rPr>
      <w:b/>
      <w:bCs/>
      <w:sz w:val="20"/>
      <w:szCs w:val="20"/>
    </w:rPr>
  </w:style>
  <w:style w:type="table" w:styleId="Tabela-Siatka">
    <w:name w:val="Table Grid"/>
    <w:basedOn w:val="Standardowy"/>
    <w:uiPriority w:val="59"/>
    <w:rsid w:val="00B5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aliases w:val="Akapit z listą BS,Numerowanie,List Paragraph"/>
    <w:basedOn w:val="Normalny"/>
    <w:link w:val="AkapitzlistZnak"/>
    <w:uiPriority w:val="34"/>
    <w:qFormat/>
    <w:rsid w:val="00C953F9"/>
    <w:pPr>
      <w:spacing w:before="200" w:after="0" w:line="320" w:lineRule="atLeast"/>
      <w:ind w:left="708"/>
    </w:pPr>
    <w:rPr>
      <w:rFonts w:ascii="Calibri" w:eastAsia="Calibri" w:hAnsi="Calibri" w:cs="Times New Roman"/>
      <w:szCs w:val="20"/>
      <w:lang w:eastAsia="pl-PL"/>
    </w:rPr>
  </w:style>
  <w:style w:type="character" w:customStyle="1" w:styleId="AkapitzlistZnak">
    <w:name w:val="Akapit z listą Znak"/>
    <w:aliases w:val="Akapit z listą BS Znak,Numerowanie Znak,List Paragraph Znak"/>
    <w:link w:val="Akapitzlist"/>
    <w:uiPriority w:val="34"/>
    <w:qFormat/>
    <w:locked/>
    <w:rsid w:val="00C953F9"/>
    <w:rPr>
      <w:rFonts w:ascii="Calibri" w:eastAsia="Calibri" w:hAnsi="Calibri" w:cs="Times New Roman"/>
      <w:szCs w:val="20"/>
      <w:lang w:eastAsia="pl-PL"/>
    </w:rPr>
  </w:style>
  <w:style w:type="character" w:customStyle="1" w:styleId="Nagwek3Znak">
    <w:name w:val="Nagłówek 3 Znak"/>
    <w:basedOn w:val="Domylnaczcionkaakapitu"/>
    <w:link w:val="Nagwek3"/>
    <w:uiPriority w:val="99"/>
    <w:rsid w:val="00947BA1"/>
    <w:rPr>
      <w:rFonts w:ascii="Calibri" w:eastAsia="Times New Roman" w:hAnsi="Calibri" w:cs="Times New Roman"/>
      <w:b/>
      <w:bCs/>
      <w:sz w:val="24"/>
      <w:szCs w:val="24"/>
      <w:lang w:val="x-none" w:eastAsia="x-none"/>
    </w:rPr>
  </w:style>
  <w:style w:type="character" w:styleId="Odwoanieprzypisudolnego">
    <w:name w:val="footnote reference"/>
    <w:uiPriority w:val="99"/>
    <w:semiHidden/>
    <w:unhideWhenUsed/>
    <w:rsid w:val="00790C12"/>
    <w:rPr>
      <w:vertAlign w:val="superscript"/>
    </w:rPr>
  </w:style>
  <w:style w:type="paragraph" w:styleId="Tekstprzypisudolnego">
    <w:name w:val="footnote text"/>
    <w:basedOn w:val="Normalny"/>
    <w:link w:val="TekstprzypisudolnegoZnak"/>
    <w:uiPriority w:val="99"/>
    <w:semiHidden/>
    <w:unhideWhenUsed/>
    <w:rsid w:val="00790C12"/>
    <w:rPr>
      <w:rFonts w:ascii="Calibri" w:eastAsia="Calibri" w:hAnsi="Calibri" w:cs="Times New Roman"/>
      <w:sz w:val="20"/>
      <w:szCs w:val="20"/>
      <w:lang w:val="x-none"/>
    </w:rPr>
  </w:style>
  <w:style w:type="character" w:customStyle="1" w:styleId="TekstprzypisudolnegoZnak">
    <w:name w:val="Tekst przypisu dolnego Znak"/>
    <w:basedOn w:val="Domylnaczcionkaakapitu"/>
    <w:link w:val="Tekstprzypisudolnego"/>
    <w:uiPriority w:val="99"/>
    <w:semiHidden/>
    <w:rsid w:val="00790C12"/>
    <w:rPr>
      <w:rFonts w:ascii="Calibri" w:eastAsia="Calibri" w:hAnsi="Calibri" w:cs="Times New Roman"/>
      <w:sz w:val="20"/>
      <w:szCs w:val="20"/>
      <w:lang w:val="x-none"/>
    </w:rPr>
  </w:style>
  <w:style w:type="paragraph" w:styleId="Poprawka">
    <w:name w:val="Revision"/>
    <w:hidden/>
    <w:uiPriority w:val="99"/>
    <w:semiHidden/>
    <w:rsid w:val="00C07D73"/>
    <w:pPr>
      <w:spacing w:after="0" w:line="240" w:lineRule="auto"/>
    </w:pPr>
  </w:style>
  <w:style w:type="character" w:customStyle="1" w:styleId="DefaultZnak">
    <w:name w:val="Default Znak"/>
    <w:link w:val="Default"/>
    <w:rsid w:val="00A40CD2"/>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36711">
      <w:bodyDiv w:val="1"/>
      <w:marLeft w:val="0"/>
      <w:marRight w:val="0"/>
      <w:marTop w:val="0"/>
      <w:marBottom w:val="0"/>
      <w:divBdr>
        <w:top w:val="none" w:sz="0" w:space="0" w:color="auto"/>
        <w:left w:val="none" w:sz="0" w:space="0" w:color="auto"/>
        <w:bottom w:val="none" w:sz="0" w:space="0" w:color="auto"/>
        <w:right w:val="none" w:sz="0" w:space="0" w:color="auto"/>
      </w:divBdr>
    </w:div>
    <w:div w:id="554318632">
      <w:bodyDiv w:val="1"/>
      <w:marLeft w:val="0"/>
      <w:marRight w:val="0"/>
      <w:marTop w:val="0"/>
      <w:marBottom w:val="0"/>
      <w:divBdr>
        <w:top w:val="none" w:sz="0" w:space="0" w:color="auto"/>
        <w:left w:val="none" w:sz="0" w:space="0" w:color="auto"/>
        <w:bottom w:val="none" w:sz="0" w:space="0" w:color="auto"/>
        <w:right w:val="none" w:sz="0" w:space="0" w:color="auto"/>
      </w:divBdr>
    </w:div>
    <w:div w:id="699814697">
      <w:bodyDiv w:val="1"/>
      <w:marLeft w:val="0"/>
      <w:marRight w:val="0"/>
      <w:marTop w:val="0"/>
      <w:marBottom w:val="0"/>
      <w:divBdr>
        <w:top w:val="none" w:sz="0" w:space="0" w:color="auto"/>
        <w:left w:val="none" w:sz="0" w:space="0" w:color="auto"/>
        <w:bottom w:val="none" w:sz="0" w:space="0" w:color="auto"/>
        <w:right w:val="none" w:sz="0" w:space="0" w:color="auto"/>
      </w:divBdr>
    </w:div>
    <w:div w:id="733889258">
      <w:bodyDiv w:val="1"/>
      <w:marLeft w:val="0"/>
      <w:marRight w:val="0"/>
      <w:marTop w:val="0"/>
      <w:marBottom w:val="0"/>
      <w:divBdr>
        <w:top w:val="none" w:sz="0" w:space="0" w:color="auto"/>
        <w:left w:val="none" w:sz="0" w:space="0" w:color="auto"/>
        <w:bottom w:val="none" w:sz="0" w:space="0" w:color="auto"/>
        <w:right w:val="none" w:sz="0" w:space="0" w:color="auto"/>
      </w:divBdr>
    </w:div>
    <w:div w:id="909579836">
      <w:bodyDiv w:val="1"/>
      <w:marLeft w:val="0"/>
      <w:marRight w:val="0"/>
      <w:marTop w:val="0"/>
      <w:marBottom w:val="0"/>
      <w:divBdr>
        <w:top w:val="none" w:sz="0" w:space="0" w:color="auto"/>
        <w:left w:val="none" w:sz="0" w:space="0" w:color="auto"/>
        <w:bottom w:val="none" w:sz="0" w:space="0" w:color="auto"/>
        <w:right w:val="none" w:sz="0" w:space="0" w:color="auto"/>
      </w:divBdr>
    </w:div>
    <w:div w:id="1744066980">
      <w:bodyDiv w:val="1"/>
      <w:marLeft w:val="0"/>
      <w:marRight w:val="0"/>
      <w:marTop w:val="0"/>
      <w:marBottom w:val="0"/>
      <w:divBdr>
        <w:top w:val="none" w:sz="0" w:space="0" w:color="auto"/>
        <w:left w:val="none" w:sz="0" w:space="0" w:color="auto"/>
        <w:bottom w:val="none" w:sz="0" w:space="0" w:color="auto"/>
        <w:right w:val="none" w:sz="0" w:space="0" w:color="auto"/>
      </w:divBdr>
    </w:div>
    <w:div w:id="196758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99FE2-DC80-4599-A863-1736E220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3559</Words>
  <Characters>21357</Characters>
  <Application>Microsoft Office Word</Application>
  <DocSecurity>0</DocSecurity>
  <Lines>177</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 Mucha</dc:creator>
  <cp:lastModifiedBy>Kamila Kołoszko</cp:lastModifiedBy>
  <cp:revision>6</cp:revision>
  <cp:lastPrinted>2018-04-17T09:35:00Z</cp:lastPrinted>
  <dcterms:created xsi:type="dcterms:W3CDTF">2019-04-26T10:16:00Z</dcterms:created>
  <dcterms:modified xsi:type="dcterms:W3CDTF">2020-02-28T09:29:00Z</dcterms:modified>
</cp:coreProperties>
</file>