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1. Business Overview</w:t>
      </w:r>
    </w:p>
    <w:p>
      <w:pPr>
        <w:pStyle w:val="ListBullet"/>
      </w:pPr>
      <w:r>
        <w:t>Ascot Lloyd Limited is a UK independent financial advice and wealth management firm that provides regulated advice to individuals and companies</w:t>
      </w:r>
    </w:p>
    <w:p>
      <w:pPr>
        <w:pStyle w:val="ListBullet"/>
      </w:pPr>
      <w:r>
        <w:t>The company operates as part of a national IFA consolidator strategy with continued integration of acquired advice businesses into the core platform</w:t>
      </w:r>
    </w:p>
    <w:p>
      <w:pPr>
        <w:pStyle w:val="ListBullet"/>
      </w:pPr>
      <w:r>
        <w:t>The company offers holistic financial planning across pensions and retirement, investments, tax and estate planning, protection insurance and corporate employee benefits advisory</w:t>
      </w:r>
    </w:p>
    <w:p>
      <w:pPr>
        <w:pStyle w:val="ListBullet"/>
      </w:pPr>
      <w:r>
        <w:t>The company operates nationally in the UK with a headquarters in Birmingham and offices across at least 17 locations including Reading, London, Leeds, Glasgow and Swansea</w:t>
      </w:r>
    </w:p>
    <w:p>
      <w:pPr>
        <w:pStyle w:val="ListBullet"/>
      </w:pPr>
      <w:r>
        <w:t>The company serves UK private clients via advisers and an execution only channel and supports UK corporate clients with employee benefits and related advisory</w:t>
      </w:r>
    </w:p>
    <w:p>
      <w:pPr>
        <w:pStyle w:val="ListBullet"/>
      </w:pPr>
      <w:r>
        <w:t>The company has been owned by private equity firm Nordic Capital since Oct-22 following completion of its acquisition of Ascot Lloyd from prior owners</w:t>
      </w:r>
    </w:p>
    <w:p>
      <w:pPr>
        <w:pStyle w:val="ListBullet"/>
      </w:pPr>
      <w:r>
        <w:t>The company announced key developments in the last year including a legal name change to Ascot Lloyd Limited in Feb-25 and an agreed acquisition of Aberdeen Financial Planning in Aug-25 to expand its client base and assets under advice</w:t>
      </w:r>
    </w:p>
    <w:p>
      <w:pPr>
        <w:pStyle w:val="ListBullet"/>
      </w:pPr>
      <w:r>
        <w:t>The company faces stress factors including reliance on current unsecured amounts owed to group undertakings of £28.7m that are repayable on demand together with £4.5m of lease liabilities and substantial conduct remediation and complaints provisions of £17.0m and £0.9m that could pressure liquidity during ongoing integration</w:t>
      </w:r>
    </w:p>
    <w:p>
      <w:r>
        <w:rPr>
          <w:b/>
          <w:sz w:val="24"/>
        </w:rPr>
        <w:t>Sources</w:t>
      </w:r>
    </w:p>
    <w:p>
      <w:pPr>
        <w:pStyle w:val="ListBullet"/>
      </w:pPr>
      <w:r>
        <w:t>[#1] Ascot Lloyd Limited FY24 Annual Report, Strategic Report, p.3 — what the company does, UK focus, three divisions, name change to Ascot Lloyd Limited, ongoing integration of acquired businesses; https://aiprojec tteneo.blob.core.windows.net/companieshouse singlefile/075844887/ASCOT_LLOYD_LIMITED_AA_annualReport_2025-09-23_0.pdf</w:t>
      </w:r>
    </w:p>
    <w:p>
      <w:pPr>
        <w:pStyle w:val="ListBullet"/>
      </w:pPr>
      <w:r>
        <w:t>[#2] Ascot Lloyd Limited FY24 Annual Report, Notes 19–21, pp.39–40 — stress triggers including £28.7m current amounts owed to group undertakings repayable on demand, £4.5m lease liabilities, £17.0m service remediation and £0.9m complaints provisions; https://aiprojec tteneo.blob.core.windows.net/companieshouse singlefile/075844887/ASCOT_LLOYD_LIMITED_AA_annualReport_2025-09-23_0.pdf</w:t>
      </w:r>
    </w:p>
    <w:p>
      <w:pPr>
        <w:pStyle w:val="ListBullet"/>
      </w:pPr>
      <w:r>
        <w:t>[#3] Capital Professional Limited FY23 Annual Report, Strategic Report, p.3 — divisional model of Private Client, Execution only and Corporate services and customer types; https://aiprojec tteneo.blob.core.windows.net/companieshouse singlefile/075844887/ASCOT_LLOYD_LIMITED_AA_annualReport_2024-07-31_1.pdf</w:t>
      </w:r>
    </w:p>
    <w:p>
      <w:pPr>
        <w:pStyle w:val="ListBullet"/>
      </w:pPr>
      <w:r>
        <w:t>[#4] Nordic Capital completes acquisition of Ascot Lloyd, Press release — confirms Nordic Capital ownership since Oct-22 and business description as an IFA consolidator; https://www.nordiccapital.com/news-views/press-releases/nordic-capital-completes-acquisition-of-ascot-lloyd/</w:t>
      </w:r>
    </w:p>
    <w:p>
      <w:pPr>
        <w:pStyle w:val="ListBullet"/>
      </w:pPr>
      <w:r>
        <w:t>[#5] Ascot Lloyd LinkedIn Company Page — UK footprint, Birmingham headquarters and offices across at least 17 UK locations, summary of services; https://uk.linkedin.com/company/ascotlloyd</w:t>
      </w:r>
    </w:p>
    <w:p>
      <w:pPr>
        <w:pStyle w:val="ListBullet"/>
      </w:pPr>
      <w:r>
        <w:t>[#6] abrdn plc news, Aberdeen agrees sale of Financial Planning business, Aug-25 — agreed sale of Aberdeen Financial Planning to Ascot Lloyd as a key development in the last year; https://www.aberdeenplc.com/en-gb/news/all-news/aberdeen-agrees-sale-of-financial-planning-business</w:t>
      </w:r>
    </w:p>
    <w:p>
      <w:r>
        <w:rPr>
          <w:b/>
          <w:sz w:val="32"/>
        </w:rPr>
        <w:t>2. Key Stakeholders</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Metric</w:t>
            </w:r>
          </w:p>
        </w:tc>
        <w:tc>
          <w:tcPr>
            <w:tcW w:type="dxa" w:w="4320"/>
          </w:tcPr>
          <w:p>
            <w:r>
              <w:rPr>
                <w:b/>
              </w:rPr>
            </w:r>
            <w:r>
              <w:rPr>
                <w:b/>
              </w:rPr>
              <w:t>Shareholders</w:t>
            </w:r>
          </w:p>
        </w:tc>
      </w:tr>
      <w:tr>
        <w:tc>
          <w:tcPr>
            <w:tcW w:type="dxa" w:w="4320"/>
          </w:tcPr>
          <w:p>
            <w:r/>
            <w:r>
              <w:t>Shareholders</w:t>
            </w:r>
          </w:p>
        </w:tc>
        <w:tc>
          <w:tcPr>
            <w:tcW w:type="dxa" w:w="4320"/>
          </w:tcPr>
          <w:p>
            <w:r/>
            <w:r>
              <w:t>Immediate parent: CPL Topco Limited (England &amp; Wales). Ultimate parent: Cidron Goodwood 3 Limited (Jersey); intermediate holding: Cidron Goodwood Limited (Jersey). The group is controlled by funds advised by Nordic Capital Fund X.</w:t>
            </w:r>
          </w:p>
        </w:tc>
      </w:tr>
      <w:tr>
        <w:tc>
          <w:tcPr>
            <w:tcW w:type="dxa" w:w="4320"/>
          </w:tcPr>
          <w:p>
            <w:r/>
            <w:r>
              <w:t>Management</w:t>
            </w:r>
          </w:p>
        </w:tc>
        <w:tc>
          <w:tcPr>
            <w:tcW w:type="dxa" w:w="4320"/>
          </w:tcPr>
          <w:p>
            <w:r/>
            <w:r>
              <w:t>Chairman: Mike Covell. CEO: Francis Jackson (appointed Nov-24 following regulatory approval). CFO: Felice Rea.</w:t>
            </w:r>
          </w:p>
        </w:tc>
      </w:tr>
      <w:tr>
        <w:tc>
          <w:tcPr>
            <w:tcW w:type="dxa" w:w="4320"/>
          </w:tcPr>
          <w:p>
            <w:r/>
            <w:r>
              <w:t>Lenders</w:t>
            </w:r>
          </w:p>
        </w:tc>
        <w:tc>
          <w:tcPr>
            <w:tcW w:type="dxa" w:w="4320"/>
          </w:tcPr>
          <w:p>
            <w:r/>
            <w:r>
              <w:t>CVC Credit Partners (senior debt provider supporting Nordic Capital’s acquisition/growth plan, Nov-22). Security trustee on outstanding all-assets charge: Kroll Trustee Services Limited. Note: FY24–FY22 statutory accounts for Ascot Lloyd Limited show no external bank borrowings at the entity level; security likely supports group facilities.</w:t>
            </w:r>
          </w:p>
        </w:tc>
      </w:tr>
      <w:tr>
        <w:tc>
          <w:tcPr>
            <w:tcW w:type="dxa" w:w="4320"/>
          </w:tcPr>
          <w:p>
            <w:r/>
            <w:r>
              <w:t>Auditors</w:t>
            </w:r>
          </w:p>
        </w:tc>
        <w:tc>
          <w:tcPr>
            <w:tcW w:type="dxa" w:w="4320"/>
          </w:tcPr>
          <w:p>
            <w:r/>
            <w:r>
              <w:t>PricewaterhouseCoopers LLP.</w:t>
            </w:r>
          </w:p>
        </w:tc>
      </w:tr>
      <w:tr>
        <w:tc>
          <w:tcPr>
            <w:tcW w:type="dxa" w:w="4320"/>
          </w:tcPr>
          <w:p>
            <w:r/>
            <w:r>
              <w:t>Advisors</w:t>
            </w:r>
          </w:p>
        </w:tc>
        <w:tc>
          <w:tcPr>
            <w:tcW w:type="dxa" w:w="4320"/>
          </w:tcPr>
          <w:p>
            <w:r/>
            <w:r>
              <w:t>Buyer (Nordic Capital) advisors on 2022 acquisition: Fenchurch Advisory (financial), Kirkland &amp; Ellis (legal), Alvarez &amp; Marsal (advisory). Sellers’ advisors: Houlihan Lokey (financial), Proskauer Rose (legal).</w:t>
            </w:r>
          </w:p>
        </w:tc>
      </w:tr>
      <w:tr>
        <w:tc>
          <w:tcPr>
            <w:tcW w:type="dxa" w:w="4320"/>
          </w:tcPr>
          <w:p>
            <w:r/>
            <w:r>
              <w:t>Charges</w:t>
            </w:r>
          </w:p>
        </w:tc>
        <w:tc>
          <w:tcPr>
            <w:tcW w:type="dxa" w:w="4320"/>
          </w:tcPr>
          <w:p>
            <w:r/>
            <w:r>
              <w:t>Outstanding only (Companies House): Charge code 0758 4487 0008 — created 27-Jan-23; persons entitled: Kroll Trustee Services Limited (as Security Trustee).</w:t>
            </w:r>
          </w:p>
        </w:tc>
      </w:tr>
    </w:tbl>
    <w:p/>
    <w:p>
      <w:r>
        <w:rPr>
          <w:b/>
          <w:sz w:val="24"/>
        </w:rPr>
        <w:t>Sources</w:t>
      </w:r>
    </w:p>
    <w:p>
      <w:pPr>
        <w:pStyle w:val="ListBullet"/>
      </w:pPr>
      <w:r>
        <w:t>[#1] Ascot Lloyd Limited (formerly Capital Professional Limited), Annual Report and Financial Statements for the year ended 31 Dec-24 — Directors’ Report (management/directors), p.19; Statement of Financial Position (no external bank debt), p.17; Operating profit/fees note (auditor fees context), p.31; Finance costs (no bank interest), p.33; Creditors breakdown (no bank borrowings listed), p.40; Note 29 “Ultimate parent company” (parent/ownership), p.45. https://aiprojecctteneo.blob.core.windows.net/companieshousinglefile/07584487/ASCOT_LLOYD_LIMITED_AA_annualReport_2025-09-23_0.pdf — supports: shareholders, management (board names), lenders (absence of entity-level bank debt), auditors (firm), and cross-references.</w:t>
      </w:r>
    </w:p>
    <w:p>
      <w:pPr>
        <w:pStyle w:val="ListBullet"/>
      </w:pPr>
      <w:r>
        <w:t>[#2] Companies House — Confirmation statement CS01 (filed 15-Dec-25) showing CPL Topco Limited as sole shareholder of Ascot Lloyd Limited. https://find-and-update.company-information.service.gov.uk/company/07584487/filing-history/MzQ5NDA3MTcyOWFkaXF6a2N4/document?download=0&amp;format=pdf — supports: immediate parent/shareholder.</w:t>
      </w:r>
    </w:p>
    <w:p>
      <w:pPr>
        <w:pStyle w:val="ListBullet"/>
      </w:pPr>
      <w:r>
        <w:t>[#3] Nordic Capital — Press release announcing acquisition of Ascot Lloyd (Apr-22; completion Oct-22) and portfolio page. https://www.nordiccapital.com/news-views/press-releases/nordic-capital-to-acquire-ascot-lloyd/ and https://www.nordiccapital.com/portfolio-cases/investments/ascot-lloyd/ — supports: ultimate control by funds advised by Nordic Capital; Chairman name.</w:t>
      </w:r>
    </w:p>
    <w:p>
      <w:pPr>
        <w:pStyle w:val="ListBullet"/>
      </w:pPr>
      <w:r>
        <w:t>[#4] Money Marketing — “Ascot Lloyd appoints Francis Jackson as new CEO.” https://www.moneymarketing.co.uk/news/ascot-lloyd-appoints-francis-jackson-as-new-ceo/ — supports: CEO appointment.</w:t>
      </w:r>
    </w:p>
    <w:p>
      <w:pPr>
        <w:pStyle w:val="ListBullet"/>
      </w:pPr>
      <w:r>
        <w:t>[#5] Companies House — Ascot Lloyd Limited officers page (director appointments incl. Francis Jackson; Felice Rea as finance director). https://find-and-update.company-information.service.gov.uk/company/07584487/officers — supports: management (CEO/CFO corroboration).</w:t>
      </w:r>
    </w:p>
    <w:p>
      <w:pPr>
        <w:pStyle w:val="ListBullet"/>
      </w:pPr>
      <w:r>
        <w:t>[#6] CVC Credit Partners — press release “CVC Credit supports Nordic Capital’s acquisition and growth plans for Ascot Lloyd” (30-Nov-22). https://www.cvc.com/media/news/2022/2022-11-30-cvc-credit-supports-nordic-capital-s-acquisition-and-growth-plans-for-ascot-lloyd/ — supports: lenders.</w:t>
      </w:r>
    </w:p>
    <w:p>
      <w:pPr>
        <w:pStyle w:val="ListBullet"/>
      </w:pPr>
      <w:r>
        <w:t>[#7] Companies House — Ascot Lloyd Limited charges register. https://find-and-update.company-information.service.gov.uk/company/07584487/charges — supports: outstanding charge (code 0008), creation date (27-Jan-23) and persons entitled (Kroll Trustee Services Limited).</w:t>
      </w:r>
    </w:p>
    <w:p>
      <w:pPr>
        <w:pStyle w:val="ListBullet"/>
      </w:pPr>
      <w:r>
        <w:t>[#8] Houlihan Lokey — deal disclosure (financial advisor to sellers on Ascot Lloyd sale to Nordic Capital). https://www.hl.com — supports: advisors to sellers.</w:t>
      </w:r>
    </w:p>
    <w:p>
      <w:pPr>
        <w:pStyle w:val="ListBullet"/>
      </w:pPr>
      <w:r>
        <w:t>[#9] Proskauer — deal disclosure (legal advisor to sellers). https://www.proskauer.com — supports: advisors to sellers.</w:t>
      </w:r>
    </w:p>
    <w:p>
      <w:r>
        <w:rPr>
          <w:b/>
          <w:sz w:val="32"/>
        </w:rPr>
        <w:t>6. Financial Highlights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Metric</w:t>
            </w:r>
          </w:p>
        </w:tc>
        <w:tc>
          <w:tcPr>
            <w:tcW w:type="dxa" w:w="2160"/>
          </w:tcPr>
          <w:p>
            <w:r>
              <w:rPr>
                <w:b/>
              </w:rPr>
            </w:r>
            <w:r>
              <w:rPr>
                <w:b/>
              </w:rPr>
              <w:t>FY24</w:t>
            </w:r>
          </w:p>
        </w:tc>
        <w:tc>
          <w:tcPr>
            <w:tcW w:type="dxa" w:w="2160"/>
          </w:tcPr>
          <w:p>
            <w:r>
              <w:rPr>
                <w:b/>
              </w:rPr>
            </w:r>
            <w:r>
              <w:rPr>
                <w:b/>
              </w:rPr>
              <w:t>FY23</w:t>
            </w:r>
          </w:p>
        </w:tc>
        <w:tc>
          <w:tcPr>
            <w:tcW w:type="dxa" w:w="2160"/>
          </w:tcPr>
          <w:p>
            <w:r>
              <w:rPr>
                <w:b/>
              </w:rPr>
            </w:r>
            <w:r>
              <w:rPr>
                <w:b/>
              </w:rPr>
              <w:t>FY22</w:t>
            </w:r>
          </w:p>
        </w:tc>
      </w:tr>
      <w:tr>
        <w:tc>
          <w:tcPr>
            <w:tcW w:type="dxa" w:w="2160"/>
          </w:tcPr>
          <w:p>
            <w:r/>
            <w:r>
              <w:t>Revenue (Turnover)</w:t>
            </w:r>
          </w:p>
        </w:tc>
        <w:tc>
          <w:tcPr>
            <w:tcW w:type="dxa" w:w="2160"/>
          </w:tcPr>
          <w:p>
            <w:r/>
            <w:r>
              <w:t>£82.9m [#1]</w:t>
            </w:r>
          </w:p>
        </w:tc>
        <w:tc>
          <w:tcPr>
            <w:tcW w:type="dxa" w:w="2160"/>
          </w:tcPr>
          <w:p>
            <w:r/>
            <w:r>
              <w:t>£73.6m [#2]</w:t>
            </w:r>
          </w:p>
        </w:tc>
        <w:tc>
          <w:tcPr>
            <w:tcW w:type="dxa" w:w="2160"/>
          </w:tcPr>
          <w:p>
            <w:r/>
            <w:r>
              <w:t>£71.7m [#2][#3]</w:t>
            </w:r>
          </w:p>
        </w:tc>
      </w:tr>
      <w:tr>
        <w:tc>
          <w:tcPr>
            <w:tcW w:type="dxa" w:w="2160"/>
          </w:tcPr>
          <w:p>
            <w:r/>
            <w:r>
              <w:t>Revenue growth % (yoy)</w:t>
            </w:r>
          </w:p>
        </w:tc>
        <w:tc>
          <w:tcPr>
            <w:tcW w:type="dxa" w:w="2160"/>
          </w:tcPr>
          <w:p>
            <w:r/>
            <w:r>
              <w:t>+12.7% [#1][#2]</w:t>
            </w:r>
          </w:p>
        </w:tc>
        <w:tc>
          <w:tcPr>
            <w:tcW w:type="dxa" w:w="2160"/>
          </w:tcPr>
          <w:p>
            <w:r/>
            <w:r>
              <w:t>+2.6% [#2]</w:t>
            </w:r>
          </w:p>
        </w:tc>
        <w:tc>
          <w:tcPr>
            <w:tcW w:type="dxa" w:w="2160"/>
          </w:tcPr>
          <w:p>
            <w:r/>
            <w:r>
              <w:t>n.a.</w:t>
            </w:r>
          </w:p>
        </w:tc>
      </w:tr>
      <w:tr>
        <w:tc>
          <w:tcPr>
            <w:tcW w:type="dxa" w:w="2160"/>
          </w:tcPr>
          <w:p>
            <w:r/>
            <w:r>
              <w:t>Gross profit</w:t>
            </w:r>
          </w:p>
        </w:tc>
        <w:tc>
          <w:tcPr>
            <w:tcW w:type="dxa" w:w="2160"/>
          </w:tcPr>
          <w:p>
            <w:r/>
            <w:r>
              <w:t>£82.8m [#1]</w:t>
            </w:r>
          </w:p>
        </w:tc>
        <w:tc>
          <w:tcPr>
            <w:tcW w:type="dxa" w:w="2160"/>
          </w:tcPr>
          <w:p>
            <w:r/>
            <w:r>
              <w:t>£73.5m [#2]</w:t>
            </w:r>
          </w:p>
        </w:tc>
        <w:tc>
          <w:tcPr>
            <w:tcW w:type="dxa" w:w="2160"/>
          </w:tcPr>
          <w:p>
            <w:r/>
            <w:r>
              <w:t>£71.6m [#2][#3]</w:t>
            </w:r>
          </w:p>
        </w:tc>
      </w:tr>
      <w:tr>
        <w:tc>
          <w:tcPr>
            <w:tcW w:type="dxa" w:w="2160"/>
          </w:tcPr>
          <w:p>
            <w:r/>
            <w:r>
              <w:t>Gross margin %</w:t>
            </w:r>
          </w:p>
        </w:tc>
        <w:tc>
          <w:tcPr>
            <w:tcW w:type="dxa" w:w="2160"/>
          </w:tcPr>
          <w:p>
            <w:r/>
            <w:r>
              <w:t>99.9% [#1]</w:t>
            </w:r>
          </w:p>
        </w:tc>
        <w:tc>
          <w:tcPr>
            <w:tcW w:type="dxa" w:w="2160"/>
          </w:tcPr>
          <w:p>
            <w:r/>
            <w:r>
              <w:t>99.9% [#2]</w:t>
            </w:r>
          </w:p>
        </w:tc>
        <w:tc>
          <w:tcPr>
            <w:tcW w:type="dxa" w:w="2160"/>
          </w:tcPr>
          <w:p>
            <w:r/>
            <w:r>
              <w:t>99.8% [#2][#3]</w:t>
            </w:r>
          </w:p>
        </w:tc>
      </w:tr>
      <w:tr>
        <w:tc>
          <w:tcPr>
            <w:tcW w:type="dxa" w:w="2160"/>
          </w:tcPr>
          <w:p>
            <w:r/>
            <w:r>
              <w:t>EBITDA</w:t>
            </w:r>
          </w:p>
        </w:tc>
        <w:tc>
          <w:tcPr>
            <w:tcW w:type="dxa" w:w="2160"/>
          </w:tcPr>
          <w:p>
            <w:r/>
            <w:r>
              <w:t>-£3.6m [#1]</w:t>
            </w:r>
          </w:p>
        </w:tc>
        <w:tc>
          <w:tcPr>
            <w:tcW w:type="dxa" w:w="2160"/>
          </w:tcPr>
          <w:p>
            <w:r/>
            <w:r>
              <w:t>£8.4m [#2]</w:t>
            </w:r>
          </w:p>
        </w:tc>
        <w:tc>
          <w:tcPr>
            <w:tcW w:type="dxa" w:w="2160"/>
          </w:tcPr>
          <w:p>
            <w:r/>
            <w:r>
              <w:t>£9.0m [#2]</w:t>
            </w:r>
          </w:p>
        </w:tc>
      </w:tr>
      <w:tr>
        <w:tc>
          <w:tcPr>
            <w:tcW w:type="dxa" w:w="2160"/>
          </w:tcPr>
          <w:p>
            <w:r/>
            <w:r>
              <w:t>EBITDA margin %</w:t>
            </w:r>
          </w:p>
        </w:tc>
        <w:tc>
          <w:tcPr>
            <w:tcW w:type="dxa" w:w="2160"/>
          </w:tcPr>
          <w:p>
            <w:r/>
            <w:r>
              <w:t>n.m. [#1]</w:t>
            </w:r>
          </w:p>
        </w:tc>
        <w:tc>
          <w:tcPr>
            <w:tcW w:type="dxa" w:w="2160"/>
          </w:tcPr>
          <w:p>
            <w:r/>
            <w:r>
              <w:t>11.4% [#2]</w:t>
            </w:r>
          </w:p>
        </w:tc>
        <w:tc>
          <w:tcPr>
            <w:tcW w:type="dxa" w:w="2160"/>
          </w:tcPr>
          <w:p>
            <w:r/>
            <w:r>
              <w:t>12.6% [#2]</w:t>
            </w:r>
          </w:p>
        </w:tc>
      </w:tr>
      <w:tr>
        <w:tc>
          <w:tcPr>
            <w:tcW w:type="dxa" w:w="2160"/>
          </w:tcPr>
          <w:p>
            <w:r/>
            <w:r>
              <w:t>Net Working Capital (per CF statement)</w:t>
            </w:r>
          </w:p>
        </w:tc>
        <w:tc>
          <w:tcPr>
            <w:tcW w:type="dxa" w:w="2160"/>
          </w:tcPr>
          <w:p>
            <w:r/>
            <w:r>
              <w:t>n.a. [#1]</w:t>
            </w:r>
          </w:p>
        </w:tc>
        <w:tc>
          <w:tcPr>
            <w:tcW w:type="dxa" w:w="2160"/>
          </w:tcPr>
          <w:p>
            <w:r/>
            <w:r>
              <w:t>n.a. [#2]</w:t>
            </w:r>
          </w:p>
        </w:tc>
        <w:tc>
          <w:tcPr>
            <w:tcW w:type="dxa" w:w="2160"/>
          </w:tcPr>
          <w:p>
            <w:r/>
            <w:r>
              <w:t>n.a. [#3]</w:t>
            </w:r>
          </w:p>
        </w:tc>
      </w:tr>
      <w:tr>
        <w:tc>
          <w:tcPr>
            <w:tcW w:type="dxa" w:w="2160"/>
          </w:tcPr>
          <w:p>
            <w:r/>
            <w:r>
              <w:t>Cash Flow from Operating Activities excl. Net Working Capital</w:t>
            </w:r>
          </w:p>
        </w:tc>
        <w:tc>
          <w:tcPr>
            <w:tcW w:type="dxa" w:w="2160"/>
          </w:tcPr>
          <w:p>
            <w:r/>
            <w:r>
              <w:t>n.a. [#1]</w:t>
            </w:r>
          </w:p>
        </w:tc>
        <w:tc>
          <w:tcPr>
            <w:tcW w:type="dxa" w:w="2160"/>
          </w:tcPr>
          <w:p>
            <w:r/>
            <w:r>
              <w:t>n.a. [#2]</w:t>
            </w:r>
          </w:p>
        </w:tc>
        <w:tc>
          <w:tcPr>
            <w:tcW w:type="dxa" w:w="2160"/>
          </w:tcPr>
          <w:p>
            <w:r/>
            <w:r>
              <w:t>n.a. [#3]</w:t>
            </w:r>
          </w:p>
        </w:tc>
      </w:tr>
      <w:tr>
        <w:tc>
          <w:tcPr>
            <w:tcW w:type="dxa" w:w="2160"/>
          </w:tcPr>
          <w:p>
            <w:r/>
            <w:r>
              <w:t>Capex</w:t>
            </w:r>
          </w:p>
        </w:tc>
        <w:tc>
          <w:tcPr>
            <w:tcW w:type="dxa" w:w="2160"/>
          </w:tcPr>
          <w:p>
            <w:r/>
            <w:r>
              <w:t>n.a. [#1]</w:t>
            </w:r>
          </w:p>
        </w:tc>
        <w:tc>
          <w:tcPr>
            <w:tcW w:type="dxa" w:w="2160"/>
          </w:tcPr>
          <w:p>
            <w:r/>
            <w:r>
              <w:t>n.a. [#2]</w:t>
            </w:r>
          </w:p>
        </w:tc>
        <w:tc>
          <w:tcPr>
            <w:tcW w:type="dxa" w:w="2160"/>
          </w:tcPr>
          <w:p>
            <w:r/>
            <w:r>
              <w:t>n.a. [#3]</w:t>
            </w:r>
          </w:p>
        </w:tc>
      </w:tr>
      <w:tr>
        <w:tc>
          <w:tcPr>
            <w:tcW w:type="dxa" w:w="2160"/>
          </w:tcPr>
          <w:p>
            <w:r/>
            <w:r>
              <w:t>Other Cash Flow from Investing Activities</w:t>
            </w:r>
          </w:p>
        </w:tc>
        <w:tc>
          <w:tcPr>
            <w:tcW w:type="dxa" w:w="2160"/>
          </w:tcPr>
          <w:p>
            <w:r/>
            <w:r>
              <w:t>n.a. [#1]</w:t>
            </w:r>
          </w:p>
        </w:tc>
        <w:tc>
          <w:tcPr>
            <w:tcW w:type="dxa" w:w="2160"/>
          </w:tcPr>
          <w:p>
            <w:r/>
            <w:r>
              <w:t>n.a. [#2]</w:t>
            </w:r>
          </w:p>
        </w:tc>
        <w:tc>
          <w:tcPr>
            <w:tcW w:type="dxa" w:w="2160"/>
          </w:tcPr>
          <w:p>
            <w:r/>
            <w:r>
              <w:t>n.a. [#3]</w:t>
            </w:r>
          </w:p>
        </w:tc>
      </w:tr>
      <w:tr>
        <w:tc>
          <w:tcPr>
            <w:tcW w:type="dxa" w:w="2160"/>
          </w:tcPr>
          <w:p>
            <w:r/>
            <w:r>
              <w:t>CFADS</w:t>
            </w:r>
          </w:p>
        </w:tc>
        <w:tc>
          <w:tcPr>
            <w:tcW w:type="dxa" w:w="2160"/>
          </w:tcPr>
          <w:p>
            <w:r/>
            <w:r>
              <w:t>n.a. [#1]</w:t>
            </w:r>
          </w:p>
        </w:tc>
        <w:tc>
          <w:tcPr>
            <w:tcW w:type="dxa" w:w="2160"/>
          </w:tcPr>
          <w:p>
            <w:r/>
            <w:r>
              <w:t>n.a. [#2]</w:t>
            </w:r>
          </w:p>
        </w:tc>
        <w:tc>
          <w:tcPr>
            <w:tcW w:type="dxa" w:w="2160"/>
          </w:tcPr>
          <w:p>
            <w:r/>
            <w:r>
              <w:t>n.a. [#3]</w:t>
            </w:r>
          </w:p>
        </w:tc>
      </w:tr>
      <w:tr>
        <w:tc>
          <w:tcPr>
            <w:tcW w:type="dxa" w:w="2160"/>
          </w:tcPr>
          <w:p>
            <w:r/>
            <w:r>
              <w:t>Cash Flow from Financing Activities</w:t>
            </w:r>
          </w:p>
        </w:tc>
        <w:tc>
          <w:tcPr>
            <w:tcW w:type="dxa" w:w="2160"/>
          </w:tcPr>
          <w:p>
            <w:r/>
            <w:r>
              <w:t>n.a. [#1]</w:t>
            </w:r>
          </w:p>
        </w:tc>
        <w:tc>
          <w:tcPr>
            <w:tcW w:type="dxa" w:w="2160"/>
          </w:tcPr>
          <w:p>
            <w:r/>
            <w:r>
              <w:t>n.a. [#2]</w:t>
            </w:r>
          </w:p>
        </w:tc>
        <w:tc>
          <w:tcPr>
            <w:tcW w:type="dxa" w:w="2160"/>
          </w:tcPr>
          <w:p>
            <w:r/>
            <w:r>
              <w:t>n.a. [#3]</w:t>
            </w:r>
          </w:p>
        </w:tc>
      </w:tr>
      <w:tr>
        <w:tc>
          <w:tcPr>
            <w:tcW w:type="dxa" w:w="2160"/>
          </w:tcPr>
          <w:p>
            <w:r/>
            <w:r>
              <w:t>Opening Cash</w:t>
            </w:r>
          </w:p>
        </w:tc>
        <w:tc>
          <w:tcPr>
            <w:tcW w:type="dxa" w:w="2160"/>
          </w:tcPr>
          <w:p>
            <w:r/>
            <w:r>
              <w:t>n.a. [#1]</w:t>
            </w:r>
          </w:p>
        </w:tc>
        <w:tc>
          <w:tcPr>
            <w:tcW w:type="dxa" w:w="2160"/>
          </w:tcPr>
          <w:p>
            <w:r/>
            <w:r>
              <w:t>n.a. [#2]</w:t>
            </w:r>
          </w:p>
        </w:tc>
        <w:tc>
          <w:tcPr>
            <w:tcW w:type="dxa" w:w="2160"/>
          </w:tcPr>
          <w:p>
            <w:r/>
            <w:r>
              <w:t>n.a. [#3]</w:t>
            </w:r>
          </w:p>
        </w:tc>
      </w:tr>
      <w:tr>
        <w:tc>
          <w:tcPr>
            <w:tcW w:type="dxa" w:w="2160"/>
          </w:tcPr>
          <w:p>
            <w:r/>
            <w:r>
              <w:t>Change in Cash</w:t>
            </w:r>
          </w:p>
        </w:tc>
        <w:tc>
          <w:tcPr>
            <w:tcW w:type="dxa" w:w="2160"/>
          </w:tcPr>
          <w:p>
            <w:r/>
            <w:r>
              <w:t>n.a. [#1]</w:t>
            </w:r>
          </w:p>
        </w:tc>
        <w:tc>
          <w:tcPr>
            <w:tcW w:type="dxa" w:w="2160"/>
          </w:tcPr>
          <w:p>
            <w:r/>
            <w:r>
              <w:t>n.a. [#2]</w:t>
            </w:r>
          </w:p>
        </w:tc>
        <w:tc>
          <w:tcPr>
            <w:tcW w:type="dxa" w:w="2160"/>
          </w:tcPr>
          <w:p>
            <w:r/>
            <w:r>
              <w:t>n.a. [#3]</w:t>
            </w:r>
          </w:p>
        </w:tc>
      </w:tr>
      <w:tr>
        <w:tc>
          <w:tcPr>
            <w:tcW w:type="dxa" w:w="2160"/>
          </w:tcPr>
          <w:p>
            <w:r/>
            <w:r>
              <w:t>Closing Cash</w:t>
            </w:r>
          </w:p>
        </w:tc>
        <w:tc>
          <w:tcPr>
            <w:tcW w:type="dxa" w:w="2160"/>
          </w:tcPr>
          <w:p>
            <w:r/>
            <w:r>
              <w:t>£5.1m [#1]</w:t>
            </w:r>
          </w:p>
        </w:tc>
        <w:tc>
          <w:tcPr>
            <w:tcW w:type="dxa" w:w="2160"/>
          </w:tcPr>
          <w:p>
            <w:r/>
            <w:r>
              <w:t>£5.9m [#2]</w:t>
            </w:r>
          </w:p>
        </w:tc>
        <w:tc>
          <w:tcPr>
            <w:tcW w:type="dxa" w:w="2160"/>
          </w:tcPr>
          <w:p>
            <w:r/>
            <w:r>
              <w:t>£4.9m [#2]</w:t>
            </w:r>
          </w:p>
        </w:tc>
      </w:tr>
      <w:tr>
        <w:tc>
          <w:tcPr>
            <w:tcW w:type="dxa" w:w="2160"/>
          </w:tcPr>
          <w:p>
            <w:r/>
            <w:r>
              <w:t>Total Debt (external)</w:t>
            </w:r>
          </w:p>
        </w:tc>
        <w:tc>
          <w:tcPr>
            <w:tcW w:type="dxa" w:w="2160"/>
          </w:tcPr>
          <w:p>
            <w:r/>
            <w:r>
              <w:t>£4.5m [#1]</w:t>
            </w:r>
          </w:p>
        </w:tc>
        <w:tc>
          <w:tcPr>
            <w:tcW w:type="dxa" w:w="2160"/>
          </w:tcPr>
          <w:p>
            <w:r/>
            <w:r>
              <w:t>£5.1m [#2]</w:t>
            </w:r>
          </w:p>
        </w:tc>
        <w:tc>
          <w:tcPr>
            <w:tcW w:type="dxa" w:w="2160"/>
          </w:tcPr>
          <w:p>
            <w:r/>
            <w:r>
              <w:t>£4.1m [#2]</w:t>
            </w:r>
          </w:p>
        </w:tc>
      </w:tr>
      <w:tr>
        <w:tc>
          <w:tcPr>
            <w:tcW w:type="dxa" w:w="2160"/>
          </w:tcPr>
          <w:p>
            <w:r/>
            <w:r>
              <w:t>Net Debt</w:t>
            </w:r>
          </w:p>
        </w:tc>
        <w:tc>
          <w:tcPr>
            <w:tcW w:type="dxa" w:w="2160"/>
          </w:tcPr>
          <w:p>
            <w:r/>
            <w:r>
              <w:t>-£0.6m [#1][#2]</w:t>
            </w:r>
          </w:p>
        </w:tc>
        <w:tc>
          <w:tcPr>
            <w:tcW w:type="dxa" w:w="2160"/>
          </w:tcPr>
          <w:p>
            <w:r/>
            <w:r>
              <w:t>-£0.8m [#2]</w:t>
            </w:r>
          </w:p>
        </w:tc>
        <w:tc>
          <w:tcPr>
            <w:tcW w:type="dxa" w:w="2160"/>
          </w:tcPr>
          <w:p>
            <w:r/>
            <w:r>
              <w:t>-£0.8m [#2]</w:t>
            </w:r>
          </w:p>
        </w:tc>
      </w:tr>
      <w:tr>
        <w:tc>
          <w:tcPr>
            <w:tcW w:type="dxa" w:w="2160"/>
          </w:tcPr>
          <w:p>
            <w:r/>
            <w:r>
              <w:t>Leverage (Net Debt / EBITDA)</w:t>
            </w:r>
          </w:p>
        </w:tc>
        <w:tc>
          <w:tcPr>
            <w:tcW w:type="dxa" w:w="2160"/>
          </w:tcPr>
          <w:p>
            <w:r/>
            <w:r>
              <w:t>n.m. [#1]</w:t>
            </w:r>
          </w:p>
        </w:tc>
        <w:tc>
          <w:tcPr>
            <w:tcW w:type="dxa" w:w="2160"/>
          </w:tcPr>
          <w:p>
            <w:r/>
            <w:r>
              <w:t>n.m. [#2]</w:t>
            </w:r>
          </w:p>
        </w:tc>
        <w:tc>
          <w:tcPr>
            <w:tcW w:type="dxa" w:w="2160"/>
          </w:tcPr>
          <w:p>
            <w:r/>
            <w:r>
              <w:t>n.m. [#2]</w:t>
            </w:r>
          </w:p>
        </w:tc>
      </w:tr>
    </w:tbl>
    <w:p/>
    <w:p>
      <w:r>
        <w:rPr>
          <w:b/>
          <w:sz w:val="24"/>
        </w:rPr>
        <w:t>Summary</w:t>
      </w:r>
    </w:p>
    <w:p>
      <w:pPr>
        <w:pStyle w:val="ListBullet"/>
      </w:pPr>
      <w:r>
        <w:t>Revenue increased from £71.7m in FY22 to £73.6m in FY23 and £82.9m in FY24 with growth accelerating to 12.7% in FY24, indicating top-line expansion despite subsequent profitability pressures</w:t>
      </w:r>
    </w:p>
    <w:p>
      <w:pPr>
        <w:pStyle w:val="ListBullet"/>
      </w:pPr>
      <w:r>
        <w:t>Gross profit rose in line with revenue from £71.6m in FY22 to £82.8m in FY24 reflecting the near-absence of cost of sales and the revenue-led model</w:t>
      </w:r>
    </w:p>
    <w:p>
      <w:pPr>
        <w:pStyle w:val="ListBullet"/>
      </w:pPr>
      <w:r>
        <w:t>EBITDA deteriorated from £9.0m in FY22 to £8.4m in FY23 and then to -£3.6m in FY24 reflecting an operating loss in FY24 as operating costs outpaced revenue</w:t>
      </w:r>
    </w:p>
    <w:p>
      <w:pPr>
        <w:pStyle w:val="ListBullet"/>
      </w:pPr>
      <w:r>
        <w:t>EBITDA margin compressed from 12.6% in FY22 to 11.4% in FY23 and turned negative in FY24 underscoring material margin pressure and weaker operating leverage in the latest year</w:t>
      </w:r>
    </w:p>
    <w:p>
      <w:pPr>
        <w:pStyle w:val="ListBullet"/>
      </w:pPr>
      <w:r>
        <w:t>Gross margin held essentially flat at ~100% across FY22–FY24 consistent with minimal direct cost of sales and indicating that profitability hinges primarily on controlling operating expenses</w:t>
      </w:r>
    </w:p>
    <w:p>
      <w:pPr>
        <w:pStyle w:val="ListBullet"/>
      </w:pPr>
      <w:r>
        <w:t>Year-end cash decreased modestly from £5.9m in FY23 to £5.1m in FY24 after increasing from £4.9m in FY22 to £5.9m in FY23 signaling a slight reduction in liquidity at year end</w:t>
      </w:r>
    </w:p>
    <w:p>
      <w:pPr>
        <w:pStyle w:val="ListBullet"/>
      </w:pPr>
      <w:r>
        <w:t>Total external debt declined from £5.1m in FY23 to £4.5m in FY24 and is comprised solely of lease liabilities with no external bank borrowings disclosed which reduces refinancing risk but still entails fixed lease commitments</w:t>
      </w:r>
    </w:p>
    <w:p>
      <w:pPr>
        <w:pStyle w:val="ListBullet"/>
      </w:pPr>
      <w:r>
        <w:t>Net debt remained negative throughout at -£0.8m in FY22 and FY23 and -£0.6m in FY24 showing the company stayed in a small net cash position despite the FY24 operating loss</w:t>
      </w:r>
    </w:p>
    <w:p>
      <w:pPr>
        <w:pStyle w:val="ListBullet"/>
      </w:pPr>
      <w:r>
        <w:t>Leverage is not meaningful in all three years because of net cash in FY22–FY23 and negative EBITDA in FY24 but the FY24 EBITDA loss is a clear credit negative if not reversed</w:t>
      </w:r>
    </w:p>
    <w:p>
      <w:r>
        <w:rPr>
          <w:b/>
          <w:sz w:val="24"/>
        </w:rPr>
        <w:t>Sources</w:t>
      </w:r>
    </w:p>
    <w:p>
      <w:pPr>
        <w:pStyle w:val="ListBullet"/>
      </w:pPr>
      <w:r>
        <w:t>[#1] Ascot Lloyd Limited Annual Report for the year ended 31-Dec-24 (filed 23-Sep-25): Statement of Comprehensive Income (revenue, gross profit, operating loss) p.17; Note 7 Operating profit (depreciation and amortisation) p.31; Statement of Financial Position (cash) p.36; Notes 15, 19–20 (lease liabilities) pp.38–40; Note 2.4 FRS 101 reduced disclosure exemptions (cash flow statement not presented) p.41. Link: https://aiprojectteneo.blob.core.windows.net/companieshouseinglefile/075844487/ASCOT_LLOYD_LIMITED_AA_annualReport_2025-09-23_0.pdf</w:t>
      </w:r>
    </w:p>
    <w:p>
      <w:pPr>
        <w:pStyle w:val="ListBullet"/>
      </w:pPr>
      <w:r>
        <w:t>[#2] Capital Professional Limited (now Ascot Lloyd Limited) Annual Report for the year ended 31-Dec-23 (filed 31-Jul-24): Statement of Comprehensive Income (revenue, gross profit) p.16; Statement of Financial Position (cash) p.33; Strategic Report KPI reconciliation (operating profit and D&amp;A for FY23 and FY22) p.4; Notes 15, 19–20 (lease liabilities and creditors) pp.35, 38. Link: https://aiprojectteneo.blob.core.windows.net/companieshouseinglefile/075844487/ASCOT_LLOYD_LIMITED_AA_annualReport_2024-07-31_1.pdf</w:t>
      </w:r>
    </w:p>
    <w:p>
      <w:pPr>
        <w:pStyle w:val="ListBullet"/>
      </w:pPr>
      <w:r>
        <w:t>[#3] Capital Professional Limited Annual Report for the year ended 31-Dec-22 (filed 25-Aug-23): Statement of Comprehensive Income (revenue, gross profit) p.16. Link: https://aiprojectteneo.blob.core.windows.net/companieshouseinglefile/075844487/ASCOT_LLOYD_LIMITED_AA_annualReport_2023-08-25_2.pdf</w:t>
      </w:r>
    </w:p>
    <w:p>
      <w:r>
        <w:rPr>
          <w:b/>
          <w:sz w:val="32"/>
        </w:rPr>
        <w:t>7. Capital Structure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Debt Facility</w:t>
            </w:r>
          </w:p>
        </w:tc>
        <w:tc>
          <w:tcPr>
            <w:tcW w:type="dxa" w:w="2160"/>
          </w:tcPr>
          <w:p>
            <w:r>
              <w:rPr>
                <w:b/>
              </w:rPr>
            </w:r>
            <w:r>
              <w:rPr>
                <w:b/>
              </w:rPr>
              <w:t>Interest Rate</w:t>
            </w:r>
          </w:p>
        </w:tc>
        <w:tc>
          <w:tcPr>
            <w:tcW w:type="dxa" w:w="2160"/>
          </w:tcPr>
          <w:p>
            <w:r>
              <w:rPr>
                <w:b/>
              </w:rPr>
            </w:r>
            <w:r>
              <w:rPr>
                <w:b/>
              </w:rPr>
              <w:t>Maturity</w:t>
            </w:r>
          </w:p>
        </w:tc>
        <w:tc>
          <w:tcPr>
            <w:tcW w:type="dxa" w:w="2160"/>
          </w:tcPr>
          <w:p>
            <w:r>
              <w:rPr>
                <w:b/>
              </w:rPr>
            </w:r>
            <w:r>
              <w:rPr>
                <w:b/>
              </w:rPr>
              <w:t>Amount Outstanding (£m)</w:t>
            </w:r>
          </w:p>
        </w:tc>
      </w:tr>
      <w:tr>
        <w:tc>
          <w:tcPr>
            <w:tcW w:type="dxa" w:w="2160"/>
          </w:tcPr>
          <w:p>
            <w:r/>
            <w:r>
              <w:t>Lease liabilities (IFRS 16)</w:t>
            </w:r>
          </w:p>
        </w:tc>
        <w:tc>
          <w:tcPr>
            <w:tcW w:type="dxa" w:w="2160"/>
          </w:tcPr>
          <w:p>
            <w:r/>
            <w:r>
              <w:t>n.a.</w:t>
            </w:r>
          </w:p>
        </w:tc>
        <w:tc>
          <w:tcPr>
            <w:tcW w:type="dxa" w:w="2160"/>
          </w:tcPr>
          <w:p>
            <w:r/>
            <w:r>
              <w:t>n.a.</w:t>
            </w:r>
          </w:p>
        </w:tc>
        <w:tc>
          <w:tcPr>
            <w:tcW w:type="dxa" w:w="2160"/>
          </w:tcPr>
          <w:p>
            <w:r/>
            <w:r>
              <w:t>£4.5m [#4]</w:t>
            </w:r>
          </w:p>
        </w:tc>
      </w:tr>
      <w:tr>
        <w:tc>
          <w:tcPr>
            <w:tcW w:type="dxa" w:w="2160"/>
          </w:tcPr>
          <w:p>
            <w:r/>
            <w:r>
              <w:t>Gross External Debt</w:t>
            </w:r>
          </w:p>
        </w:tc>
        <w:tc>
          <w:tcPr>
            <w:tcW w:type="dxa" w:w="2160"/>
          </w:tcPr>
          <w:p>
            <w:r/>
            <w:r>
              <w:t>n.a.</w:t>
            </w:r>
          </w:p>
        </w:tc>
        <w:tc>
          <w:tcPr>
            <w:tcW w:type="dxa" w:w="2160"/>
          </w:tcPr>
          <w:p>
            <w:r/>
            <w:r>
              <w:t>n.a.</w:t>
            </w:r>
          </w:p>
        </w:tc>
        <w:tc>
          <w:tcPr>
            <w:tcW w:type="dxa" w:w="2160"/>
          </w:tcPr>
          <w:p>
            <w:r/>
            <w:r>
              <w:t>£4.5m [#4]</w:t>
            </w:r>
          </w:p>
        </w:tc>
      </w:tr>
      <w:tr>
        <w:tc>
          <w:tcPr>
            <w:tcW w:type="dxa" w:w="2160"/>
          </w:tcPr>
          <w:p>
            <w:r/>
            <w:r>
              <w:t>Closing Cash</w:t>
            </w:r>
          </w:p>
        </w:tc>
        <w:tc>
          <w:tcPr>
            <w:tcW w:type="dxa" w:w="2160"/>
          </w:tcPr>
          <w:p>
            <w:r/>
            <w:r>
              <w:t>n.a.</w:t>
            </w:r>
          </w:p>
        </w:tc>
        <w:tc>
          <w:tcPr>
            <w:tcW w:type="dxa" w:w="2160"/>
          </w:tcPr>
          <w:p>
            <w:r/>
            <w:r>
              <w:t>n.a.</w:t>
            </w:r>
          </w:p>
        </w:tc>
        <w:tc>
          <w:tcPr>
            <w:tcW w:type="dxa" w:w="2160"/>
          </w:tcPr>
          <w:p>
            <w:r/>
            <w:r>
              <w:t>£5.1m [#1]</w:t>
            </w:r>
          </w:p>
        </w:tc>
      </w:tr>
      <w:tr>
        <w:tc>
          <w:tcPr>
            <w:tcW w:type="dxa" w:w="2160"/>
          </w:tcPr>
          <w:p>
            <w:r/>
            <w:r>
              <w:t>Net external debt</w:t>
            </w:r>
          </w:p>
        </w:tc>
        <w:tc>
          <w:tcPr>
            <w:tcW w:type="dxa" w:w="2160"/>
          </w:tcPr>
          <w:p>
            <w:r/>
            <w:r>
              <w:t>n.a.</w:t>
            </w:r>
          </w:p>
        </w:tc>
        <w:tc>
          <w:tcPr>
            <w:tcW w:type="dxa" w:w="2160"/>
          </w:tcPr>
          <w:p>
            <w:r/>
            <w:r>
              <w:t>n.a.</w:t>
            </w:r>
          </w:p>
        </w:tc>
        <w:tc>
          <w:tcPr>
            <w:tcW w:type="dxa" w:w="2160"/>
          </w:tcPr>
          <w:p>
            <w:r/>
            <w:r>
              <w:t>-£0.6m [#4][#1]</w:t>
            </w:r>
          </w:p>
        </w:tc>
      </w:tr>
      <w:tr>
        <w:tc>
          <w:tcPr>
            <w:tcW w:type="dxa" w:w="2160"/>
          </w:tcPr>
          <w:p>
            <w:r/>
            <w:r>
              <w:t>Liquidity (cash + undrawn facilities)</w:t>
            </w:r>
          </w:p>
        </w:tc>
        <w:tc>
          <w:tcPr>
            <w:tcW w:type="dxa" w:w="2160"/>
          </w:tcPr>
          <w:p>
            <w:r/>
            <w:r>
              <w:t>n.a.</w:t>
            </w:r>
          </w:p>
        </w:tc>
        <w:tc>
          <w:tcPr>
            <w:tcW w:type="dxa" w:w="2160"/>
          </w:tcPr>
          <w:p>
            <w:r/>
            <w:r>
              <w:t>n.a.</w:t>
            </w:r>
          </w:p>
        </w:tc>
        <w:tc>
          <w:tcPr>
            <w:tcW w:type="dxa" w:w="2160"/>
          </w:tcPr>
          <w:p>
            <w:r/>
            <w:r>
              <w:t>n.a.</w:t>
            </w:r>
          </w:p>
        </w:tc>
      </w:tr>
      <w:tr>
        <w:tc>
          <w:tcPr>
            <w:tcW w:type="dxa" w:w="2160"/>
          </w:tcPr>
          <w:p>
            <w:r/>
            <w:r>
              <w:t>EBITDA/Adjusted EBITDA</w:t>
            </w:r>
          </w:p>
        </w:tc>
        <w:tc>
          <w:tcPr>
            <w:tcW w:type="dxa" w:w="2160"/>
          </w:tcPr>
          <w:p>
            <w:r/>
            <w:r>
              <w:t>n.a.</w:t>
            </w:r>
          </w:p>
        </w:tc>
        <w:tc>
          <w:tcPr>
            <w:tcW w:type="dxa" w:w="2160"/>
          </w:tcPr>
          <w:p>
            <w:r/>
            <w:r>
              <w:t>n.a.</w:t>
            </w:r>
          </w:p>
        </w:tc>
        <w:tc>
          <w:tcPr>
            <w:tcW w:type="dxa" w:w="2160"/>
          </w:tcPr>
          <w:p>
            <w:r/>
            <w:r>
              <w:t>-£3.6m [#7]</w:t>
            </w:r>
          </w:p>
        </w:tc>
      </w:tr>
      <w:tr>
        <w:tc>
          <w:tcPr>
            <w:tcW w:type="dxa" w:w="2160"/>
          </w:tcPr>
          <w:p>
            <w:r/>
            <w:r>
              <w:t>Leverage</w:t>
            </w:r>
          </w:p>
        </w:tc>
        <w:tc>
          <w:tcPr>
            <w:tcW w:type="dxa" w:w="2160"/>
          </w:tcPr>
          <w:p>
            <w:r/>
            <w:r>
              <w:t>n.a.</w:t>
            </w:r>
          </w:p>
        </w:tc>
        <w:tc>
          <w:tcPr>
            <w:tcW w:type="dxa" w:w="2160"/>
          </w:tcPr>
          <w:p>
            <w:r/>
            <w:r>
              <w:t>n.a.</w:t>
            </w:r>
          </w:p>
        </w:tc>
        <w:tc>
          <w:tcPr>
            <w:tcW w:type="dxa" w:w="2160"/>
          </w:tcPr>
          <w:p>
            <w:r/>
            <w:r>
              <w:t>n.m.</w:t>
            </w:r>
          </w:p>
        </w:tc>
      </w:tr>
    </w:tbl>
    <w:p/>
    <w:p>
      <w:r>
        <w:rPr>
          <w:b/>
          <w:sz w:val="24"/>
        </w:rPr>
        <w:t>Summary / Interpretation</w:t>
      </w:r>
    </w:p>
    <w:p>
      <w:pPr>
        <w:pStyle w:val="ListBullet"/>
      </w:pPr>
      <w:r>
        <w:t>The company sits in a small net cash position of approximately £0.6m, with gross external debt limited to IFRS 16 lease liabilities and cash of £5.1m offsetting these obligations, which reduces immediate refinancing pressure.</w:t>
      </w:r>
    </w:p>
    <w:p>
      <w:pPr>
        <w:pStyle w:val="ListBullet"/>
      </w:pPr>
      <w:r>
        <w:t>EBITDA is negative in FY24 at -£3.6m, rendering leverage not meaningful and indicating weaker operating performance that could constrain internal funding capacity if not reversed.</w:t>
      </w:r>
    </w:p>
    <w:p>
      <w:pPr>
        <w:pStyle w:val="ListBullet"/>
      </w:pPr>
      <w:r>
        <w:t>No external bank loans, bonds or RCFs are disclosed at the entity level, implying minimal exposure to floating rate costs and limited direct interest-rate risk on funding.</w:t>
      </w:r>
    </w:p>
    <w:p>
      <w:pPr>
        <w:pStyle w:val="ListBullet"/>
      </w:pPr>
      <w:r>
        <w:t>Gross external debt is entirely comprised of lease liabilities, suggesting the debt stack lacks traditional secured lending; collateralization would primarily relate to right-of-use assets rather than a broader security package.</w:t>
      </w:r>
    </w:p>
    <w:p>
      <w:pPr>
        <w:pStyle w:val="ListBullet"/>
      </w:pPr>
      <w:r>
        <w:t>Reported liquidity visibility is limited to cash on hand; there is no disclosure of committed undrawn facilities or overdraft headroom at this entity, so total liquidity cannot be determined from available information.</w:t>
      </w:r>
    </w:p>
    <w:p>
      <w:pPr>
        <w:pStyle w:val="ListBullet"/>
      </w:pPr>
      <w:r>
        <w:t>With only leases disclosed and no term loans or notes, upcoming maturities appear confined to lease payment schedules; absent a borrowing facility, the company’s flexibility hinges on operating cash generation and potential group support.</w:t>
      </w:r>
    </w:p>
    <w:p>
      <w:r>
        <w:rPr>
          <w:b/>
          <w:sz w:val="24"/>
        </w:rPr>
        <w:t>Sources</w:t>
      </w:r>
    </w:p>
    <w:p>
      <w:pPr>
        <w:pStyle w:val="ListBullet"/>
      </w:pPr>
      <w:r>
        <w:t>[#4] Ascot Lloyd Limited Annual Report FY24 — Notes 19–20 (Creditors/lease liabilities), shows current and non-current lease liabilities; substantiates £4.5m lease liabilities and Gross External Debt.</w:t>
      </w:r>
    </w:p>
    <w:p>
      <w:pPr>
        <w:pStyle w:val="ListBullet"/>
      </w:pPr>
      <w:r>
        <w:t>[#1] Ascot Lloyd Limited Annual Report FY24 — Statement of Financial Position (Cash and cash equivalents), PDF p.36; substantiates Closing Cash £5.1m.</w:t>
      </w:r>
    </w:p>
    <w:p>
      <w:pPr>
        <w:pStyle w:val="ListBullet"/>
      </w:pPr>
      <w:r>
        <w:t>[#7] Ascot Lloyd Limited Annual Report FY24 — Strategic Report KPI/Adjusted EBITDA reconciliation, shows operating loss and D&amp;A used to derive EBITDA; substantiates EBITDA of -£3.6m.</w:t>
      </w:r>
    </w:p>
    <w:p>
      <w:r>
        <w:rPr>
          <w:b/>
          <w:sz w:val="32"/>
        </w:rPr>
        <w:t>3. Revenue Split</w:t>
      </w:r>
    </w:p>
    <w:p>
      <w:r>
        <w:t>Unable to produce the revenue split because the company is not specified. Please confirm the company name (and entity if part of a group). Once provided, I will extract the latest available revenue segmentation (by segment/geography/products, as reported) from the most recent annual report, calculate percentage shares, and present it in tables with exact page references.</w:t>
      </w:r>
    </w:p>
    <w:p>
      <w:r>
        <w:rPr>
          <w:b/>
          <w:sz w:val="24"/>
        </w:rPr>
        <w:t>Sources:</w:t>
      </w:r>
    </w:p>
    <w:p>
      <w:pPr>
        <w:pStyle w:val="ListBullet"/>
      </w:pPr>
      <w:r>
        <w:t>n/a (company not specified)</w:t>
      </w:r>
    </w:p>
    <w:p>
      <w:r>
        <w:rPr>
          <w:b/>
          <w:sz w:val="32"/>
        </w:rPr>
        <w:t>4a. Products/Services Overview</w:t>
      </w:r>
    </w:p>
    <w:p>
      <w:pPr>
        <w:pStyle w:val="ListBullet"/>
      </w:pPr>
      <w:r>
        <w:rPr>
          <w:b/>
        </w:rPr>
        <w:t>Financial Planning &amp; Independent Advice</w:t>
      </w:r>
      <w:r>
        <w:t xml:space="preserve"> Holistic, goals‑based financial advice for individuals and families delivered by employed independent financial advisers. ([uk.linkedin.com](https://uk.linkedin.com/company/ascotlloyd?utm_source=openai))</w:t>
      </w:r>
    </w:p>
    <w:p>
      <w:pPr>
        <w:pStyle w:val="ListBullet"/>
      </w:pPr>
      <w:r>
        <w:rPr>
          <w:b/>
        </w:rPr>
        <w:t>Retirement &amp; Pensions Advice</w:t>
      </w:r>
      <w:r>
        <w:t xml:space="preserve"> Guidance on building and accessing retirement income, including personal and workplace pensions, consolidation and at‑retirement options. ([uk.linkedin.com](https://uk.linkedin.com/company/ascotlloyd?utm_source=openai))</w:t>
      </w:r>
    </w:p>
    <w:p>
      <w:pPr>
        <w:pStyle w:val="ListBullet"/>
      </w:pPr>
      <w:r>
        <w:rPr>
          <w:b/>
        </w:rPr>
        <w:t>Investment Advice &amp; Portfolio Construction</w:t>
      </w:r>
      <w:r>
        <w:t xml:space="preserve"> Advice on suitable investment strategies and platforms, with managed solutions delivered in‑house by Ascot Lloyd Investment Management (formerly Avellemy). ([avellemy.co.uk](https://www.avellemy.co.uk/about-us/who-is-avellemy?utm_source=openai))</w:t>
      </w:r>
    </w:p>
    <w:p>
      <w:pPr>
        <w:pStyle w:val="ListBullet"/>
      </w:pPr>
      <w:r>
        <w:rPr>
          <w:b/>
        </w:rPr>
        <w:t>Model Portfolio Service (Active, Passive, Income)</w:t>
      </w:r>
      <w:r>
        <w:t xml:space="preserve"> Risk‑targeted discretionary model portfolios available on UK platforms; initial Active MPS launched in Sep-14 and Passive/Income ranges in Feb-15. ([avellemy.co.uk](https://www.avellemy.co.uk/about-us/our-story?utm_source=openai))</w:t>
      </w:r>
    </w:p>
    <w:p>
      <w:pPr>
        <w:pStyle w:val="ListBullet"/>
      </w:pPr>
      <w:r>
        <w:rPr>
          <w:b/>
        </w:rPr>
        <w:t>Multi‑Asset / Multi‑Manager Funds (IFSL Avellemy OEIC)</w:t>
      </w:r>
      <w:r>
        <w:t xml:space="preserve"> Packaged, risk‑graded funds combining leading managers into single, tax‑efficient vehicles; fund range launched in Apr-19. ([avellemy.co.uk](https://www.avellemy.co.uk/investment-solutions/the-avellemy-funds?utm_source=openai))</w:t>
      </w:r>
    </w:p>
    <w:p>
      <w:pPr>
        <w:pStyle w:val="ListBullet"/>
      </w:pPr>
      <w:r>
        <w:rPr>
          <w:b/>
        </w:rPr>
        <w:t>Avellemy Private Wealth (Bespoke DFM)</w:t>
      </w:r>
      <w:r>
        <w:t xml:space="preserve"> Tailored discretionary portfolios (including direct equities), tax‑aware management, ESG exclusions on request, and access to a named investment manager; launched Feb-20. ([avellemy.co.uk](https://www.avellemy.co.uk/investment-solutions/avellemy-private-wealth?utm_source=openai))</w:t>
      </w:r>
    </w:p>
    <w:p>
      <w:pPr>
        <w:pStyle w:val="ListBullet"/>
      </w:pPr>
      <w:r>
        <w:rPr>
          <w:b/>
        </w:rPr>
        <w:t>Tax Planning</w:t>
      </w:r>
      <w:r>
        <w:t xml:space="preserve"> Personal tax‑efficiency strategies integrated with investment and retirement advice. ([uk.linkedin.com](https://uk.linkedin.com/company/ascotlloyd?utm_source=openai))</w:t>
      </w:r>
    </w:p>
    <w:p>
      <w:pPr>
        <w:pStyle w:val="ListBullet"/>
      </w:pPr>
      <w:r>
        <w:rPr>
          <w:b/>
        </w:rPr>
        <w:t>Estate &amp; Inheritance Tax Planning</w:t>
      </w:r>
      <w:r>
        <w:t xml:space="preserve"> Estate structuring and IHT mitigation strategies coordinated with legal arrangements. ([uk.linkedin.com](https://uk.linkedin.com/company/ascotlloyd?utm_source=openai))</w:t>
      </w:r>
    </w:p>
    <w:p>
      <w:pPr>
        <w:pStyle w:val="ListBullet"/>
      </w:pPr>
      <w:r>
        <w:rPr>
          <w:b/>
        </w:rPr>
        <w:t>Protection &amp; Insurance Advice</w:t>
      </w:r>
      <w:r>
        <w:t xml:space="preserve"> Recommendations on life, critical illness and income protection to safeguard family finances. ([uk.linkedin.com](https://uk.linkedin.com/company/ascotlloyd?utm_source=openai))</w:t>
      </w:r>
    </w:p>
    <w:p>
      <w:pPr>
        <w:pStyle w:val="ListBullet"/>
      </w:pPr>
      <w:r>
        <w:rPr>
          <w:b/>
        </w:rPr>
        <w:t>Corporate Employee Benefits Consulting</w:t>
      </w:r>
      <w:r>
        <w:t xml:space="preserve"> Advice and administration for employers across employee benefits and related programmes. ([nordiccapital.com](https://www.nordiccapital.com/news-views/press-releases/nordic-capital-completes-acquisition-of-ascot-lloyd/?utm_source=openai))</w:t>
      </w:r>
    </w:p>
    <w:p>
      <w:pPr>
        <w:pStyle w:val="ListBullet"/>
      </w:pPr>
      <w:r>
        <w:rPr>
          <w:b/>
        </w:rPr>
        <w:t>Workplace Pensions &amp; Auto‑Enrolment Support</w:t>
      </w:r>
      <w:r>
        <w:t xml:space="preserve"> Set‑up, governance and ongoing support for employer pension schemes and auto‑enrolment duties, with employer/employee access to online tools. ([uk.linkedin.com](https://uk.linkedin.com/company/ascotlloyd?utm_source=openai))</w:t>
      </w:r>
    </w:p>
    <w:p>
      <w:pPr>
        <w:pStyle w:val="ListBullet"/>
      </w:pPr>
      <w:r>
        <w:rPr>
          <w:b/>
        </w:rPr>
        <w:t>Financial Planning for Directors &amp; Business Owners</w:t>
      </w:r>
      <w:r>
        <w:t xml:space="preserve"> Specialist planning for owner‑managers and directors (e.g., remuneration, pensions, exits). ([uk.linkedin.com](https://uk.linkedin.com/company/ascotlloyd?utm_source=openai))</w:t>
      </w:r>
    </w:p>
    <w:p>
      <w:pPr>
        <w:pStyle w:val="ListBullet"/>
      </w:pPr>
      <w:r>
        <w:rPr>
          <w:b/>
        </w:rPr>
        <w:t>Ascot Lloyd Adviser Platform</w:t>
      </w:r>
      <w:r>
        <w:t xml:space="preserve"> A proprietary adviser platform (developed with SS&amp;C) to streamline portfolio administration and client reporting; launched in Mar-23. ([international-adviser.com](https://www.international-adviser.com/ascot-lloyd-sets-up-adviser-platform/?utm_source=openai))</w:t>
      </w:r>
    </w:p>
    <w:p>
      <w:pPr>
        <w:pStyle w:val="ListBullet"/>
      </w:pPr>
      <w:r>
        <w:rPr>
          <w:b/>
        </w:rPr>
        <w:t>Client Online Pension Portal</w:t>
      </w:r>
      <w:r>
        <w:t xml:space="preserve"> Secure member portal to view contributions, statements, investments and key documents. ([online.ascotlloyd.co.uk](https://online.ascotlloyd.co.uk/?utm_source=openai))</w:t>
      </w:r>
    </w:p>
    <w:p>
      <w:r>
        <w:rPr>
          <w:b/>
          <w:sz w:val="24"/>
        </w:rPr>
        <w:t>Sources</w:t>
      </w:r>
    </w:p>
    <w:p>
      <w:pPr>
        <w:pStyle w:val="ListBullet"/>
      </w:pPr>
      <w:r>
        <w:t>[#1] Avellemy — Our story — substantiates MPS launches (Sep-14; Feb-15), OEIC launch (Apr-19), and Avellemy Private Wealth launch (Feb-20). ([avellemy.co.uk](https://www.avellemy.co.uk/about-us/our-story?utm_source=openai))</w:t>
      </w:r>
    </w:p>
    <w:p>
      <w:pPr>
        <w:pStyle w:val="ListBullet"/>
      </w:pPr>
      <w:r>
        <w:t>[#2] Avellemy — Avellemy Private Wealth — features and scope of bespoke DFM service. ([avellemy.co.uk](https://www.avellemy.co.uk/investment-solutions/avellemy-private-wealth?utm_source=openai))</w:t>
      </w:r>
    </w:p>
    <w:p>
      <w:pPr>
        <w:pStyle w:val="ListBullet"/>
      </w:pPr>
      <w:r>
        <w:t>[#3] Avellemy — Who is Avellemy? — explains in‑house investment management role within Ascot Lloyd Group and product set. ([avellemy.co.uk](https://www.avellemy.co.uk/about-us/who-is-avellemy?utm_source=openai))</w:t>
      </w:r>
    </w:p>
    <w:p>
      <w:pPr>
        <w:pStyle w:val="ListBullet"/>
      </w:pPr>
      <w:r>
        <w:t>[#4] Companies House — Ascot Lloyd Investment Management Limited (prev. Avellemy Limited) — confirms Avellemy is the group’s investment management arm and rename (Jul-25). ([find-and-update.company-information.service.gov.uk](https://find-and-update.company-information.service.gov.uk/company/08197347?utm_source=openai))</w:t>
      </w:r>
    </w:p>
    <w:p>
      <w:pPr>
        <w:pStyle w:val="ListBullet"/>
      </w:pPr>
      <w:r>
        <w:t>[#5] Ascot Lloyd — LinkedIn company profile — lists official specialties (financial planning, pensions, employee benefits, tax, IHT, protection, company pensions, auto‑enrolment, planning for directors). ([uk.linkedin.com](https://uk.linkedin.com/company/ascotlloyd?utm_source=openai))</w:t>
      </w:r>
    </w:p>
    <w:p>
      <w:pPr>
        <w:pStyle w:val="ListBullet"/>
      </w:pPr>
      <w:r>
        <w:t>[#6] Nordic Capital — Ascot Lloyd portfolio case — describes core offerings (financial advice, wealth management, corporate benefit solutions) and notes 2023 adviser platform initiative. ([nordiccapital.com](https://www.nordiccapital.com/portfolio-cases/investments/ascot-lloyd/?utm_source=openai))</w:t>
      </w:r>
    </w:p>
    <w:p>
      <w:pPr>
        <w:pStyle w:val="ListBullet"/>
      </w:pPr>
      <w:r>
        <w:t>[#7] International Adviser — “Ascot Lloyd sets up adviser platform” (Mar-23) — details SS&amp;C partnership and platform capabilities. ([international-adviser.com](https://www.international-adviser.com/ascot-lloyd-sets-up-adviser-platform/?utm_source=openai))</w:t>
      </w:r>
    </w:p>
    <w:p>
      <w:pPr>
        <w:pStyle w:val="ListBullet"/>
      </w:pPr>
      <w:r>
        <w:t>[#8] Ascot Lloyd — Online pension system — evidences client portal functionality for pensions. ([online.ascotlloyd.co.uk](https://online.ascotlloyd.co.uk/?utm_source=openai))</w:t>
      </w:r>
    </w:p>
    <w:p>
      <w:r>
        <w:t>Notes</w:t>
      </w:r>
    </w:p>
    <w:p>
      <w:pPr>
        <w:pStyle w:val="ListBullet"/>
      </w:pPr>
      <w:r>
        <w:t>Ascot Lloyd’s main website pages are highly dynamic; where specific service subpages could not be accessed via this interface, official group sources (Avellemy site under Ascot Lloyd Group), Companies House, and the firm’s official LinkedIn profile were used to ensure accuracy. If you would like, I can capture PDFs or screenshots of service pages directly from the live site.</w:t>
      </w:r>
    </w:p>
    <w:p>
      <w:r>
        <w:rPr>
          <w:b/>
          <w:sz w:val="32"/>
        </w:rPr>
        <w:t>4b. Geographical Footprint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Country</w:t>
            </w:r>
          </w:p>
        </w:tc>
        <w:tc>
          <w:tcPr>
            <w:tcW w:type="dxa" w:w="2160"/>
          </w:tcPr>
          <w:p>
            <w:r>
              <w:rPr>
                <w:b/>
              </w:rPr>
            </w:r>
            <w:r>
              <w:rPr>
                <w:b/>
              </w:rPr>
              <w:t>Office</w:t>
            </w:r>
          </w:p>
        </w:tc>
        <w:tc>
          <w:tcPr>
            <w:tcW w:type="dxa" w:w="2160"/>
          </w:tcPr>
          <w:p>
            <w:r>
              <w:rPr>
                <w:b/>
              </w:rPr>
            </w:r>
            <w:r>
              <w:rPr>
                <w:b/>
              </w:rPr>
              <w:t>Manufacturing Facility</w:t>
            </w:r>
          </w:p>
        </w:tc>
        <w:tc>
          <w:tcPr>
            <w:tcW w:type="dxa" w:w="2160"/>
          </w:tcPr>
          <w:p>
            <w:r>
              <w:rPr>
                <w:b/>
              </w:rPr>
            </w:r>
            <w:r>
              <w:rPr>
                <w:b/>
              </w:rPr>
              <w:t>Sales Office</w:t>
            </w:r>
          </w:p>
        </w:tc>
      </w:tr>
      <w:tr>
        <w:tc>
          <w:tcPr>
            <w:tcW w:type="dxa" w:w="2160"/>
          </w:tcPr>
          <w:p>
            <w:r/>
            <w:r>
              <w:t>UK</w:t>
            </w:r>
          </w:p>
        </w:tc>
        <w:tc>
          <w:tcPr>
            <w:tcW w:type="dxa" w:w="2160"/>
          </w:tcPr>
          <w:p>
            <w:r/>
            <w:r>
              <w:t>Yes — registered office in Birmingham and a nationwide network of client-facing advisory offices (e.g., London, Reading, Leeds, Glasgow, Swansea); the firm operates solely in the UK and is reported to have c.27 UK locations.</w:t>
            </w:r>
          </w:p>
        </w:tc>
        <w:tc>
          <w:tcPr>
            <w:tcW w:type="dxa" w:w="2160"/>
          </w:tcPr>
          <w:p>
            <w:r/>
            <w:r>
              <w:t>None (financial services business; no manufacturing)</w:t>
            </w:r>
          </w:p>
        </w:tc>
        <w:tc>
          <w:tcPr>
            <w:tcW w:type="dxa" w:w="2160"/>
          </w:tcPr>
          <w:p>
            <w:r/>
            <w:r>
              <w:t>No separately designated “sales offices”; advisory offices serve client acquisition and service.</w:t>
            </w:r>
          </w:p>
        </w:tc>
      </w:tr>
    </w:tbl>
    <w:p/>
    <w:p>
      <w:r>
        <w:rPr>
          <w:b/>
          <w:sz w:val="24"/>
        </w:rPr>
        <w:t>Sources</w:t>
      </w:r>
    </w:p>
    <w:p>
      <w:pPr>
        <w:pStyle w:val="ListBullet"/>
      </w:pPr>
      <w:r>
        <w:t>[#1] Companies House — Ascot Lloyd Limited registered office address (45 Church Street, Birmingham B3 2RT) — what it supports: UK office location and legal domicile. ([find-and-update.company-information.service.gov.uk](https://find-and-update.company-information.service.gov.uk/company/07584487?utm_source=openai))</w:t>
      </w:r>
    </w:p>
    <w:p>
      <w:pPr>
        <w:pStyle w:val="ListBullet"/>
      </w:pPr>
      <w:r>
        <w:t>[#2] Ascot Lloyd website (footer/legal) — “This website is intended for UK residents only.” — what it supports: UK-only client focus/operating footprint. ([web.ascotlloyd.co.uk](https://web.ascotlloyd.co.uk/email?utm_source=openai))</w:t>
      </w:r>
    </w:p>
    <w:p>
      <w:pPr>
        <w:pStyle w:val="ListBullet"/>
      </w:pPr>
      <w:r>
        <w:t>[#3] LinkedIn company page — Locations list (Birmingham, Reading, London, Swansea, Glasgow, Leeds) — what it supports: examples of UK advisory offices. ([uk.linkedin.com](https://uk.linkedin.com/company/ascotlloyd?utm_source=openai))</w:t>
      </w:r>
    </w:p>
    <w:p>
      <w:pPr>
        <w:pStyle w:val="ListBullet"/>
      </w:pPr>
      <w:r>
        <w:t>[#4] Financial News (Dow Jones) — article noting Ascot Lloyd operates across 27 UK locations — what it supports: scale of UK office network; no overseas footprint cited. ([fnlondon.com](https://www.fnlondon.com/articles/its-do-or-die-time-how-ascot-lloyd-2-0-will-revamp-the-11bn-wealth-manager-5992d1d8?utm_source=openai))</w:t>
      </w:r>
    </w:p>
    <w:p>
      <w:r>
        <w:t>Notes</w:t>
      </w:r>
    </w:p>
    <w:p>
      <w:pPr>
        <w:pStyle w:val="ListBullet"/>
      </w:pPr>
      <w:r>
        <w:t>No evidence from the company’s official materials or filings indicates operations outside the UK; if newer non-UK offices exist, they were not referenced in the latest accessible sources as of Jan-26. If you want, I can monitor for any updates or newly opened offices.</w:t>
      </w:r>
    </w:p>
    <w:p>
      <w:r>
        <w:rPr>
          <w:b/>
          <w:sz w:val="32"/>
        </w:rPr>
        <w:t>5. Key Recent Developments</w:t>
      </w:r>
    </w:p>
    <w:p>
      <w:pPr>
        <w:pStyle w:val="ListBullet"/>
      </w:pPr>
      <w:r>
        <w:t>Jan-26: Ascot Lloyd Limited welcomed Ben Waterhouse as chief client officer to lead UK adviser teams and support growth, following his Sep-25 appointment and succeeding Gary Stirrup who stepped down as chief commercial officer in Oct-25. ([moneymarketing.co.uk](https://www.moneymarketing.co.uk/news/ascot-lloyd-hires-schroders-waterhouse-as-new-chief-client-officer/?utm_source=openai))</w:t>
      </w:r>
    </w:p>
    <w:p>
      <w:pPr>
        <w:pStyle w:val="ListBullet"/>
      </w:pPr>
      <w:r>
        <w:t>Nov-25: Ascot Lloyd Limited completed the wind‑down of Whitechurch Securities’ in‑house custody and investment services and decommissioned the Pulse platform as part of integration, with affected third‑party DFM clients offered the option to transfer up to £125m to Marlborough under an agreement announced in Aug-25. ([whitechurch.co.uk](https://www.whitechurch.co.uk/financial-advisors/news-and-updates/in-the-press/in-the-press-whitechurch-quarterly-review--q1-2020/?utm_source=openai))</w:t>
      </w:r>
    </w:p>
    <w:p>
      <w:pPr>
        <w:pStyle w:val="ListBullet"/>
      </w:pPr>
      <w:r>
        <w:t>Sep-25: Ascot Lloyd Limited set aside £17m for potential client redress after an FCA review into ongoing advice services and reported a £14m pre‑tax loss in its FY24 accounts filed at Companies House. ([financialplanningtoday.co.uk](https://www.financialplanningtoday.co.uk/news/%C2%A314m-loss-for-ascot-lloyd-as-it-puts-aside-%C2%A317m-after-fca-probe))</w:t>
      </w:r>
    </w:p>
    <w:p>
      <w:pPr>
        <w:pStyle w:val="ListBullet"/>
      </w:pPr>
      <w:r>
        <w:t>Aug-25: Ascot Lloyd Limited agreed to acquire Aberdeen Financial Planning from Aberdeen Group, adding approximately 6,300 clients, £3,600m of assets under advice and around 60 advisers, taking total advised assets to roughly £14,500m. ([portfolio-adviser.com](https://portfolio-adviser.com/aberdeen-sells-financial-planning-business-to-ascot-lloyd/?utm_source=openai))</w:t>
      </w:r>
    </w:p>
    <w:p>
      <w:pPr>
        <w:pStyle w:val="ListBullet"/>
      </w:pPr>
      <w:r>
        <w:t>Feb-25: Ascot Lloyd Limited overhauled its pricing and unveiled a brand refresh to broaden access to advice, lowering the minimum asset requirement to £50,000 and rolling out new adviser technology to support client reviews. ([fnlondon.com](https://www.fnlondon.com/articles/ascot-lloyd-overhauls-pricing-in-brand-refresh-6af6242c?utm_source=openai))</w:t>
      </w:r>
    </w:p>
    <w:p>
      <w:pPr>
        <w:pStyle w:val="ListBullet"/>
      </w:pPr>
      <w:r>
        <w:t>Feb-25: Ascot Lloyd Limited ended a controversial acquisition deal structure that had linked enhanced payouts for sellers to directing client assets into in‑house portfolios run by Avellemy, following conflict‑of‑interest concerns. ([fnlondon.com](https://www.fnlondon.com/articles/ascot-lloyd-axes-controversial-deal-structure-after-conflict-of-interest-concerns-8d215494?utm_source=openai))</w:t>
      </w:r>
    </w:p>
    <w:p>
      <w:pPr>
        <w:pStyle w:val="ListBullet"/>
      </w:pPr>
      <w:r>
        <w:t>Dec-24: Ascot Lloyd Limited appointed Mary O’Connor, former acting CEO of KPMG UK and a senior insurance executive, as a non‑executive director to its group board. ([funds-europe.com](https://funds-europe.com/ascot-lloyd-appoints-non-executive-director/?utm_source=openai))</w:t>
      </w:r>
    </w:p>
    <w:p>
      <w:pPr>
        <w:pStyle w:val="ListBullet"/>
      </w:pPr>
      <w:r>
        <w:t>Sep-24: Ascot Lloyd Limited appointed Francis Jackson, former CEO of RBC Investor Services, as chief executive officer, replacing Nigel Stockton following regulatory approval. ([adv.portfolio-adviser.com](https://adv.portfolio-adviser.com/ascot-lloyd-names-new-ceo/?utm_source=openai))</w:t>
      </w:r>
    </w:p>
    <w:p>
      <w:pPr>
        <w:pStyle w:val="ListBullet"/>
      </w:pPr>
      <w:r>
        <w:t>Apr-24: Ascot Lloyd Limited acquired Bristol‑based Whitechurch Securities as part of its consolidation strategy, later prompting service changes within the Whitechurch business during integration. ([fnlondon.com](https://www.fnlondon.com/articles/ascot-lloyd-overhauls-pricing-in-brand-refresh-6af6242c?utm_source=openai))</w:t>
      </w:r>
    </w:p>
    <w:p>
      <w:pPr>
        <w:pStyle w:val="ListBullet"/>
      </w:pPr>
      <w:r>
        <w:t>Mar-23: Ascot Lloyd Limited launched its own adviser platform in partnership with SS&amp;C to establish a footprint in the platform space and streamline client and adviser experiences. ([ftadviser.com](https://www.ftadviser.com/platforms/2023/03/09/ascot-lloyd-launches-adviser-platform-with-ss-c/))</w:t>
      </w:r>
    </w:p>
    <w:sectPr w:rsidR="00FC693F" w:rsidRPr="0006063C" w:rsidSect="00034616">
      <w:headerReference w:type="default" r:id="rId9"/>
      <w:pgSz w:w="12240" w:h="15840"/>
      <w:pgMar w:top="1440" w:right="1800" w:bottom="1440" w:left="1800" w:header="283"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ind w:left="-1701"/>
      <w:jc w:val="left"/>
    </w:pPr>
    <w:r>
      <w:drawing>
        <wp:inline xmlns:a="http://schemas.openxmlformats.org/drawingml/2006/main" xmlns:pic="http://schemas.openxmlformats.org/drawingml/2006/picture">
          <wp:extent cx="914400" cy="401030"/>
          <wp:docPr id="1" name="Picture 1"/>
          <wp:cNvGraphicFramePr>
            <a:graphicFrameLocks noChangeAspect="1"/>
          </wp:cNvGraphicFramePr>
          <a:graphic>
            <a:graphicData uri="http://schemas.openxmlformats.org/drawingml/2006/picture">
              <pic:pic>
                <pic:nvPicPr>
                  <pic:cNvPr id="0" name="logo_teneo.png"/>
                  <pic:cNvPicPr/>
                </pic:nvPicPr>
                <pic:blipFill>
                  <a:blip r:embed="rId1"/>
                  <a:stretch>
                    <a:fillRect/>
                  </a:stretch>
                </pic:blipFill>
                <pic:spPr>
                  <a:xfrm>
                    <a:off x="0" y="0"/>
                    <a:ext cx="914400" cy="40103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