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A52A34"/>
          <w:sz w:val="20"/>
        </w:rPr>
        <w:t>OPERAÇÃO DO SISTEMA</w:t>
      </w:r>
    </w:p>
    <w:p>
      <w:pPr>
        <w:spacing w:after="200"/>
        <w:jc w:val="center"/>
      </w:pPr>
      <w:r>
        <w:rPr>
          <w:rFonts w:ascii="Georgia" w:hAnsi="Georgia"/>
          <w:b w:val="0"/>
          <w:i w:val="0"/>
          <w:color w:val="202328"/>
          <w:sz w:val="58"/>
        </w:rPr>
        <w:t>Manual de Funcionamento</w:t>
      </w:r>
    </w:p>
    <w:p>
      <w:pPr>
        <w:spacing w:after="640"/>
        <w:jc w:val="center"/>
      </w:pPr>
      <w:r>
        <w:rPr>
          <w:rFonts w:ascii="Calibri" w:hAnsi="Calibri"/>
          <w:b w:val="0"/>
          <w:i w:val="0"/>
          <w:color w:val="676A6E"/>
          <w:sz w:val="28"/>
        </w:rPr>
        <w:t>Como navegar, analisar, revisar e aprovar a Base 134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1ED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A52A34"/>
                <w:sz w:val="16"/>
              </w:rPr>
              <w:t>ESCOPO CONTROLADO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20"/>
              </w:rPr>
              <w:t>134 registros · 01/01/2026 a 30/06/2026 · aprovação exclusiva de Matheus Gracia</w:t>
            </w:r>
          </w:p>
        </w:tc>
      </w:tr>
    </w:tbl>
    <w:p>
      <w:pPr>
        <w:spacing w:after="80"/>
      </w:pPr>
    </w:p>
    <w:p>
      <w:pPr>
        <w:spacing w:before="960"/>
        <w:jc w:val="center"/>
      </w:pPr>
      <w:r>
        <w:rPr>
          <w:rFonts w:ascii="Calibri" w:hAnsi="Calibri"/>
          <w:b w:val="0"/>
          <w:i/>
          <w:color w:val="676A6E"/>
          <w:sz w:val="18"/>
        </w:rPr>
        <w:t>Versão 1.0  ·  25 de julho de 2026</w:t>
      </w:r>
    </w:p>
    <w:p>
      <w:r>
        <w:br w:type="page"/>
      </w:r>
    </w:p>
    <w:p>
      <w:pPr>
        <w:pStyle w:val="Heading1"/>
      </w:pPr>
      <w:r>
        <w:t>Como usar este manual</w:t>
      </w:r>
    </w:p>
    <w:p>
      <w:r>
        <w:rPr>
          <w:rFonts w:ascii="Calibri" w:hAnsi="Calibri"/>
          <w:b w:val="0"/>
          <w:i w:val="0"/>
          <w:color w:val="202328"/>
          <w:sz w:val="22"/>
        </w:rPr>
        <w:t>Este documento é a referência operacional do sistema. A decisão deve ser reproduzível: qualquer pessoa autorizada precisa conseguir voltar da New Base até os textos originais da SS e da OS, obra, materiais, regra e histórico.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Seção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3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1–2</w:t>
            </w:r>
          </w:p>
        </w:tc>
        <w:tc>
          <w:tcPr>
            <w:tcW w:type="dxa" w:w="70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Papéis, navegação e leitura dos estados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3–5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Importação, Análise de SS, Análise por OS e New Base</w:t>
            </w:r>
          </w:p>
        </w:tc>
      </w:tr>
      <w:tr>
        <w:trPr>
          <w:cantSplit/>
        </w:trPr>
        <w:tc>
          <w:tcPr>
            <w:tcW w:type="dxa" w:w="23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6–7</w:t>
            </w:r>
          </w:p>
        </w:tc>
        <w:tc>
          <w:tcPr>
            <w:tcW w:type="dxa" w:w="70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Dashboards financeiro, expurgo automático e análise da IA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8–10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Filas, aprovação, histórico, downloads e rotina completa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t>1. Papéis e acesso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800"/>
        <w:gridCol w:w="32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Papel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Pode fazer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Não pode fazer</w:t>
            </w:r>
          </w:p>
        </w:tc>
      </w:tr>
      <w:tr>
        <w:trPr>
          <w:cantSplit/>
        </w:trPr>
        <w:tc>
          <w:tcPr>
            <w:tcW w:type="dxa" w:w="23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Analista</w:t>
            </w:r>
          </w:p>
        </w:tc>
        <w:tc>
          <w:tcPr>
            <w:tcW w:type="dxa" w:w="38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Consultar, filtrar, abrir registros, propor alterações e incluir justificativas.</w:t>
            </w:r>
          </w:p>
        </w:tc>
        <w:tc>
          <w:tcPr>
            <w:tcW w:type="dxa" w:w="32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Aprovar, tornar oficial ou apagar histórico.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Administrador — Matheus Gracia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Todas as ações do analista; aprovar, rejeitar e abrir nova revisão.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Alterar silenciosamente uma decisão já aprovada.</w:t>
            </w:r>
          </w:p>
        </w:tc>
      </w:tr>
      <w:tr>
        <w:trPr>
          <w:cantSplit/>
        </w:trPr>
        <w:tc>
          <w:tcPr>
            <w:tcW w:type="dxa" w:w="23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IA</w:t>
            </w:r>
          </w:p>
        </w:tc>
        <w:tc>
          <w:tcPr>
            <w:tcW w:type="dxa" w:w="38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Ler SS/OS/obra/material, sugerir decisão, regra, confiança e alertas.</w:t>
            </w:r>
          </w:p>
        </w:tc>
        <w:tc>
          <w:tcPr>
            <w:tcW w:type="dxa" w:w="32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Aprovar, abrir FLC ou substituir o julgamento do administrador.</w:t>
            </w:r>
          </w:p>
        </w:tc>
      </w:tr>
    </w:tbl>
    <w:p>
      <w:pPr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1ED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A52A34"/>
                <w:sz w:val="16"/>
              </w:rPr>
              <w:t>AMBIENTE ATUAL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20"/>
              </w:rPr>
              <w:t>O protótipo local demonstra a experiência, os cálculos e a rastreabilidade. Autenticação multiusuário, banco persistente e trilha inviolável devem ser habilitados na implantação produtiva.</w:t>
            </w:r>
          </w:p>
        </w:tc>
      </w:tr>
    </w:tbl>
    <w:p>
      <w:pPr>
        <w:spacing w:after="80"/>
      </w:pPr>
    </w:p>
    <w:p>
      <w:pPr>
        <w:pStyle w:val="Heading1"/>
      </w:pPr>
      <w:r>
        <w:t>2. Mapa do sistema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Módulo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O que o usuário encontra</w:t>
            </w:r>
          </w:p>
        </w:tc>
      </w:tr>
      <w:tr>
        <w:trPr>
          <w:cantSplit/>
        </w:trPr>
        <w:tc>
          <w:tcPr>
            <w:tcW w:type="dxa" w:w="26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Visão geral</w:t>
            </w:r>
          </w:p>
        </w:tc>
        <w:tc>
          <w:tcPr>
            <w:tcW w:type="dxa" w:w="67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Escopo 134, composição da base, decisões propostas e andamento.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Análise de 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Texto da solicitação, condição alegada, causa sugerida e evidência.</w:t>
            </w:r>
          </w:p>
        </w:tc>
      </w:tr>
      <w:tr>
        <w:trPr>
          <w:cantSplit/>
        </w:trPr>
        <w:tc>
          <w:tcPr>
            <w:tcW w:type="dxa" w:w="26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Análise por OS</w:t>
            </w:r>
          </w:p>
        </w:tc>
        <w:tc>
          <w:tcPr>
            <w:tcW w:type="dxa" w:w="67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Texto executado, ação, retirada/instalação e material relacionado.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New Base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Tabela consolidada dos 134 casos e acesso ao dossiê completo.</w:t>
            </w:r>
          </w:p>
        </w:tc>
      </w:tr>
      <w:tr>
        <w:trPr>
          <w:cantSplit/>
        </w:trPr>
        <w:tc>
          <w:tcPr>
            <w:tcW w:type="dxa" w:w="26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Dashboard financeiro</w:t>
            </w:r>
          </w:p>
        </w:tc>
        <w:tc>
          <w:tcPr>
            <w:tcW w:type="dxa" w:w="67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Orçado, realizado, material, mão de obra e variação.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Expurgo automático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Regras acionadas, causas, valor associado e casos enviados à revisão.</w:t>
            </w:r>
          </w:p>
        </w:tc>
      </w:tr>
      <w:tr>
        <w:trPr>
          <w:cantSplit/>
        </w:trPr>
        <w:tc>
          <w:tcPr>
            <w:tcW w:type="dxa" w:w="26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Análise da IA</w:t>
            </w:r>
          </w:p>
        </w:tc>
        <w:tc>
          <w:tcPr>
            <w:tcW w:type="dxa" w:w="67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Confiança, cobertura de evidência, regras mais usadas e pendências.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Filas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Expurgos, SIGCO, Revisões e Aprovações.</w:t>
            </w:r>
          </w:p>
        </w:tc>
      </w:tr>
      <w:tr>
        <w:trPr>
          <w:cantSplit/>
        </w:trPr>
        <w:tc>
          <w:tcPr>
            <w:tcW w:type="dxa" w:w="26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Administração</w:t>
            </w:r>
          </w:p>
        </w:tc>
        <w:tc>
          <w:tcPr>
            <w:tcW w:type="dxa" w:w="67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Regras, importação, histórico, usuários e manuais.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3. Carregar e validar a Base 134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328"/>
          <w:sz w:val="22"/>
        </w:rPr>
        <w:t>Abra Importar e confira o nome Painel_134_Completo.xlsx.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328"/>
          <w:sz w:val="22"/>
        </w:rPr>
        <w:t>Valide o período 01/01/2026 a 30/06/2026 e a contagem de 134 linhas.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328"/>
          <w:sz w:val="22"/>
        </w:rPr>
        <w:t>Confirme a unicidade de SS e OS e a associação com as abas SS_OS_COMPLETA e OBRAS_COMPLETA.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328"/>
          <w:sz w:val="22"/>
        </w:rPr>
        <w:t>Leia o resumo de reconciliação. Divergências não podem ser descartadas; devem virar alerta.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328"/>
          <w:sz w:val="22"/>
        </w:rPr>
        <w:t>Execute a análise. A carga cria propostas pendentes, nunca aprova automaticamente.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800"/>
        <w:gridCol w:w="5560"/>
      </w:tblGrid>
      <w:tr>
        <w:trPr>
          <w:cantSplit/>
          <w:tblHeader w:val="true"/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Indicador da carga atual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38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SS / OS</w:t>
            </w:r>
          </w:p>
        </w:tc>
        <w:tc>
          <w:tcPr>
            <w:tcW w:type="dxa" w:w="55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134 / 134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Classificação recebida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89 QUEIMADO · 45 AVARIADO</w:t>
            </w:r>
          </w:p>
        </w:tc>
      </w:tr>
      <w:tr>
        <w:trPr>
          <w:cantSplit/>
        </w:trPr>
        <w:tc>
          <w:tcPr>
            <w:tcW w:type="dxa" w:w="38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Obras únicas vinculadas</w:t>
            </w:r>
          </w:p>
        </w:tc>
        <w:tc>
          <w:tcPr>
            <w:tcW w:type="dxa" w:w="55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125 identificadas no cruzamento do sistema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Alertas da Base Analítica original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52</w:t>
            </w:r>
          </w:p>
        </w:tc>
      </w:tr>
      <w:tr>
        <w:trPr>
          <w:cantSplit/>
        </w:trPr>
        <w:tc>
          <w:tcPr>
            <w:tcW w:type="dxa" w:w="38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Data máxima observada</w:t>
            </w:r>
          </w:p>
        </w:tc>
        <w:tc>
          <w:tcPr>
            <w:tcW w:type="dxa" w:w="55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25/06/2026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4. Trabalhar em Análise de SS e Análise por OS</w:t>
      </w:r>
    </w:p>
    <w:p>
      <w:pPr>
        <w:pStyle w:val="Heading2"/>
      </w:pPr>
      <w:r>
        <w:t>4.1 Análise de SS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328"/>
          <w:sz w:val="22"/>
        </w:rPr>
        <w:t>Pesquise por SS, OS, localidade, condição ou SIGCO.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328"/>
          <w:sz w:val="22"/>
        </w:rPr>
        <w:t>Abra o registro e leia a descrição completa, incluindo negações.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328"/>
          <w:sz w:val="22"/>
        </w:rPr>
        <w:t>Confira condição, causa provável, ativo/prefixo, potência e evidência extraída.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328"/>
          <w:sz w:val="22"/>
        </w:rPr>
        <w:t>Se a SS indicar trafo no chão, ausência ou poste danificado, confirme o alerta de revisão.</w:t>
      </w:r>
    </w:p>
    <w:p>
      <w:pPr>
        <w:pStyle w:val="Heading2"/>
      </w:pPr>
      <w:r>
        <w:t>4.2 Análise por OS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Leia a descrição executada sem substituir o texto da SS.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Confirme se houve substituição, reparo, inspeção ou retirada definitiva.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Compare retirado e instalado, potência e movimentação de material.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Registre contrapontos: a OS pode invalidar uma hipótese criada pela 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1ED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A52A34"/>
                <w:sz w:val="16"/>
              </w:rPr>
              <w:t>ATALHO DE AUDITORIA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20"/>
              </w:rPr>
              <w:t>No dossiê do registro, use as abas SS, OS, Obra/Material e Consolidado. A mesma identificação acompanha todas as visões.</w:t>
            </w:r>
          </w:p>
        </w:tc>
      </w:tr>
    </w:tbl>
    <w:p>
      <w:pPr>
        <w:spacing w:after="80"/>
      </w:pPr>
    </w:p>
    <w:p>
      <w:pPr>
        <w:pStyle w:val="Heading1"/>
      </w:pPr>
      <w:r>
        <w:t>5. Usar a New Base</w:t>
      </w:r>
    </w:p>
    <w:p>
      <w:r>
        <w:rPr>
          <w:rFonts w:ascii="Calibri" w:hAnsi="Calibri"/>
          <w:b w:val="0"/>
          <w:i w:val="0"/>
          <w:color w:val="202328"/>
          <w:sz w:val="22"/>
        </w:rPr>
        <w:t>A New Base — Análise Consolidada é a tabela principal. Ela mostra os 134 casos e deve ser o ponto de partida para revisar decisões.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Campo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Como interpretar</w:t>
            </w:r>
          </w:p>
        </w:tc>
      </w:tr>
      <w:tr>
        <w:trPr>
          <w:cantSplit/>
        </w:trPr>
        <w:tc>
          <w:tcPr>
            <w:tcW w:type="dxa" w:w="21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Decisão</w:t>
            </w:r>
          </w:p>
        </w:tc>
        <w:tc>
          <w:tcPr>
            <w:tcW w:type="dxa" w:w="72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INCLUIR, EXPURGAR ou REVISÃO MANUAL. Enquanto pendente, é proposta.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Condição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QUEIMADO ou AVARIADO, separada da causa.</w:t>
            </w:r>
          </w:p>
        </w:tc>
      </w:tr>
      <w:tr>
        <w:trPr>
          <w:cantSplit/>
        </w:trPr>
        <w:tc>
          <w:tcPr>
            <w:tcW w:type="dxa" w:w="21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Regra</w:t>
            </w:r>
          </w:p>
        </w:tc>
        <w:tc>
          <w:tcPr>
            <w:tcW w:type="dxa" w:w="72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Identificador reproduzível do critério aplicado.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Confiança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Alta, média ou baixa; não equivale a aprovação.</w:t>
            </w:r>
          </w:p>
        </w:tc>
      </w:tr>
      <w:tr>
        <w:trPr>
          <w:cantSplit/>
        </w:trPr>
        <w:tc>
          <w:tcPr>
            <w:tcW w:type="dxa" w:w="21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SIGCO</w:t>
            </w:r>
          </w:p>
        </w:tc>
        <w:tc>
          <w:tcPr>
            <w:tcW w:type="dxa" w:w="72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Coerente, divergente, analisar, obrigatório ou não informado.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Status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Pendente, aprovado, rejeitado ou reaberto.</w:t>
            </w:r>
          </w:p>
        </w:tc>
      </w:tr>
    </w:tbl>
    <w:p>
      <w:pPr>
        <w:spacing w:before="80" w:after="80"/>
      </w:pP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328"/>
          <w:sz w:val="22"/>
        </w:rPr>
        <w:t>Use filtros para isolar expurgos, revisões, baixa confiança ou SIGCO divergente.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328"/>
          <w:sz w:val="22"/>
        </w:rPr>
        <w:t>Clique em uma linha para abrir o dossiê completo.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328"/>
          <w:sz w:val="22"/>
        </w:rPr>
        <w:t>Compare a justificativa com os textos e materiais antes de decidir.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328"/>
          <w:sz w:val="22"/>
        </w:rPr>
        <w:t>Toda alteração deve ter motivo e gerar nova entrada de histórico.</w:t>
      </w:r>
    </w:p>
    <w:p>
      <w:pPr>
        <w:pStyle w:val="Heading1"/>
      </w:pPr>
      <w:r>
        <w:t>6. Dashboard financeiro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700"/>
        <w:gridCol w:w="4660"/>
      </w:tblGrid>
      <w:tr>
        <w:trPr>
          <w:cantSplit/>
          <w:tblHeader w:val="true"/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Indicador da Base 134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Valor da planilha</w:t>
            </w:r>
          </w:p>
        </w:tc>
      </w:tr>
      <w:tr>
        <w:trPr>
          <w:cantSplit/>
        </w:trPr>
        <w:tc>
          <w:tcPr>
            <w:tcW w:type="dxa" w:w="47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Material associado às obras</w:t>
            </w:r>
          </w:p>
        </w:tc>
        <w:tc>
          <w:tcPr>
            <w:tcW w:type="dxa" w:w="46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R$ 1.193.563,08</w:t>
            </w:r>
          </w:p>
        </w:tc>
      </w:tr>
      <w:tr>
        <w:trPr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Total orçado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R$ 1.916.209,00</w:t>
            </w:r>
          </w:p>
        </w:tc>
      </w:tr>
      <w:tr>
        <w:trPr>
          <w:cantSplit/>
        </w:trPr>
        <w:tc>
          <w:tcPr>
            <w:tcW w:type="dxa" w:w="47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Total realizado</w:t>
            </w:r>
          </w:p>
        </w:tc>
        <w:tc>
          <w:tcPr>
            <w:tcW w:type="dxa" w:w="46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R$ 1.763.696,00</w:t>
            </w:r>
          </w:p>
        </w:tc>
      </w:tr>
      <w:tr>
        <w:trPr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Material orçado / realizado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R$ 1.184.148,00 / R$ 1.139.888,00</w:t>
            </w:r>
          </w:p>
        </w:tc>
      </w:tr>
      <w:tr>
        <w:trPr>
          <w:cantSplit/>
        </w:trPr>
        <w:tc>
          <w:tcPr>
            <w:tcW w:type="dxa" w:w="47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Mão de obra orçada / realizada</w:t>
            </w:r>
          </w:p>
        </w:tc>
        <w:tc>
          <w:tcPr>
            <w:tcW w:type="dxa" w:w="46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R$ 723.372,00 / R$ 623.807,00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202328"/>
          <w:sz w:val="22"/>
        </w:rPr>
        <w:t>Os valores são somas dos campos da aba OBRAS_COMPLETA e da aba Obras. O dashboard não atribui causalidade financeira por conta própria. Filtros de expurgo e decisão mostram a parcela associada aos registros, não economia confirmada.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CEE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A52A34"/>
                <w:sz w:val="16"/>
              </w:rPr>
              <w:t>CUIDADO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20"/>
              </w:rPr>
              <w:t>Não somar “valor de material” com “total realizado” como se fossem grandezas independentes; o material pode já compor o realizado.</w:t>
            </w:r>
          </w:p>
        </w:tc>
      </w:tr>
    </w:tbl>
    <w:p>
      <w:pPr>
        <w:spacing w:after="80"/>
      </w:pPr>
    </w:p>
    <w:p>
      <w:pPr>
        <w:pStyle w:val="Heading1"/>
      </w:pPr>
      <w:r>
        <w:t>7. Dashboards de Expurgo Automático e Análise da IA</w:t>
      </w:r>
    </w:p>
    <w:p>
      <w:pPr>
        <w:pStyle w:val="Heading2"/>
      </w:pPr>
      <w:r>
        <w:t>7.1 Expurgo Automático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202328"/>
          <w:sz w:val="22"/>
        </w:rPr>
        <w:t>Mostra quantos casos acionaram regras automáticas e qual regra foi aplicada.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202328"/>
          <w:sz w:val="22"/>
        </w:rPr>
        <w:t>Agrupa por causa, mês e valor realizado associado.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202328"/>
          <w:sz w:val="22"/>
        </w:rPr>
        <w:t>Distingue expurgo direto de expurgo que também exige revisão, como possível abalroamento.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202328"/>
          <w:sz w:val="22"/>
        </w:rPr>
        <w:t>Permite abrir todos os casos que compõem cada número.</w:t>
      </w:r>
    </w:p>
    <w:p>
      <w:pPr>
        <w:pStyle w:val="Heading2"/>
      </w:pPr>
      <w:r>
        <w:t>7.2 Análise da IA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328"/>
          <w:sz w:val="22"/>
        </w:rPr>
        <w:t>Distribui os casos por confiança alta, média e baixa.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328"/>
          <w:sz w:val="22"/>
        </w:rPr>
        <w:t>Mostra cobertura de evidência: SS, OS, obra e material.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328"/>
          <w:sz w:val="22"/>
        </w:rPr>
        <w:t>Destaca códigos SIGCO que exigem análise e regras mais acionadas.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328"/>
          <w:sz w:val="22"/>
        </w:rPr>
        <w:t>Mantém explícito que todas as 134 análises começam pendentes de aprovação.</w:t>
      </w:r>
    </w:p>
    <w:p>
      <w:pPr>
        <w:pStyle w:val="Heading1"/>
      </w:pPr>
      <w:r>
        <w:t>8. Operar as filas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Fila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Ação esperada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Expurgos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Confirmar causa, regra e evidência; revisar os casos com sinal de abalroamento/furto.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SIGCO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Comparar código, causa e condição; registrar recomendação de correção/FLC com motivo.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Revisões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Resolver baixa confiança, ausência de obra, conflito, trafo no chão e movimentação de poste.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Aprovações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Matheus Gracia lê o dossiê, escreve comentário e aprova ou rejeita.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202328"/>
          <w:sz w:val="22"/>
        </w:rPr>
        <w:t>Ordene as filas por risco: baixa confiança, conflito, valor realizado mais alto e ausência de obra devem aparecer primeiro. A ordenação não muda a decisão; apenas organiza o trabalho.</w:t>
      </w:r>
    </w:p>
    <w:p>
      <w:pPr>
        <w:pStyle w:val="Heading1"/>
      </w:pPr>
      <w:r>
        <w:t>9. Aprovar, rejeitar e reabrir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202328"/>
          <w:sz w:val="22"/>
        </w:rPr>
        <w:t>Abra o caso pela New Base ou pela fila Aprovações.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202328"/>
          <w:sz w:val="22"/>
        </w:rPr>
        <w:t>Revise SS, OS, obra/material, SIGCO, regra, justificativa e histórico.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202328"/>
          <w:sz w:val="22"/>
        </w:rPr>
        <w:t>Digite um comentário objetivo, citando a evidência que sustenta a decisão.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202328"/>
          <w:sz w:val="22"/>
        </w:rPr>
        <w:t>Aprove ou rejeite. O sistema grava usuário, data/hora, decisão e comentário.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202328"/>
          <w:sz w:val="22"/>
        </w:rPr>
        <w:t>Se uma aprovação precisar ser corrigida, use Nova revisão. Nunca edite a versão aprovada.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1ED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A52A34"/>
                <w:sz w:val="16"/>
              </w:rPr>
              <w:t>REGRA DE PERMISSÃO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20"/>
              </w:rPr>
              <w:t>O botão de aprovação deve estar disponível somente para Matheus Gracia. Outros usuários podem propor e comentar, mas não oficializar.</w:t>
            </w:r>
          </w:p>
        </w:tc>
      </w:tr>
    </w:tbl>
    <w:p>
      <w:pPr>
        <w:spacing w:after="80"/>
      </w:pPr>
    </w:p>
    <w:p>
      <w:pPr>
        <w:pStyle w:val="Heading1"/>
      </w:pPr>
      <w:r>
        <w:t>10. Histórico, manuais e rotina de encerramento</w:t>
      </w:r>
    </w:p>
    <w:p>
      <w:pPr>
        <w:pStyle w:val="Heading2"/>
      </w:pPr>
      <w:r>
        <w:t>10.1 Histórico</w:t>
      </w:r>
    </w:p>
    <w:p>
      <w:r>
        <w:rPr>
          <w:rFonts w:ascii="Calibri" w:hAnsi="Calibri"/>
          <w:b w:val="0"/>
          <w:i w:val="0"/>
          <w:color w:val="202328"/>
          <w:sz w:val="22"/>
        </w:rPr>
        <w:t>O histórico deve permitir reconstruir cada mudança: quem fez, quando, qual campo, valor anterior, valor novo, regra aplicada e comentário. Use filtros por SS, usuário, ação e período.</w:t>
      </w:r>
    </w:p>
    <w:p>
      <w:pPr>
        <w:pStyle w:val="Heading2"/>
      </w:pPr>
      <w:r>
        <w:t>10.2 Downloads</w:t>
      </w:r>
    </w:p>
    <w:p>
      <w:r>
        <w:rPr>
          <w:rFonts w:ascii="Calibri" w:hAnsi="Calibri"/>
          <w:b w:val="0"/>
          <w:i w:val="0"/>
          <w:color w:val="202328"/>
          <w:sz w:val="22"/>
        </w:rPr>
        <w:t>A área Manuais oferece dois arquivos separados: este Manual de Funcionamento e o Manual de Regras. A versão exibida no site deve ser a mesma registrada na New Base.</w:t>
      </w:r>
    </w:p>
    <w:p>
      <w:pPr>
        <w:pStyle w:val="Heading2"/>
      </w:pPr>
      <w:r>
        <w:t>10.3 Fechamento do ciclo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202328"/>
          <w:sz w:val="22"/>
        </w:rPr>
        <w:t>Reconcilie INCLUIR + EXPURGAR + REVISÃO MANUAL = 134.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202328"/>
          <w:sz w:val="22"/>
        </w:rPr>
        <w:t>Confirme que aprovações oficiais não estão misturadas com propostas.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202328"/>
          <w:sz w:val="22"/>
        </w:rPr>
        <w:t>Exporte a New Base com identificadores, decisão, regra, comentário e versão.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202328"/>
          <w:sz w:val="22"/>
        </w:rPr>
        <w:t>Registre data/hora da exportação e preserve o arquivo de entrada.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202328"/>
          <w:sz w:val="22"/>
        </w:rPr>
        <w:t>Publique nova versão dos manuais quando uma regra ou módulo mudar.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1ED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A52A34"/>
                <w:sz w:val="16"/>
              </w:rPr>
              <w:t>CRITÉRIO DE PRONTO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20"/>
              </w:rPr>
              <w:t>O site e os manuais conversam quando usam os mesmos nomes de módulos, regras, estados, papéis, período, contagem e valores de origem.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76A6E"/>
        <w:sz w:val="16"/>
      </w:rPr>
      <w:t xml:space="preserve">Auditoria de Transformadores  ·  </w:t>
    </w:r>
    <w:r>
      <w:rPr>
        <w:rFonts w:ascii="Calibri" w:hAnsi="Calibri"/>
        <w:b w:val="0"/>
        <w:i w:val="0"/>
        <w:color w:val="676A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76A6E"/>
        <w:sz w:val="16"/>
      </w:rPr>
      <w:t>MANUAL DE FUNCIONAMENTO</w:t>
    </w:r>
    <w:r>
      <w:rPr>
        <w:rFonts w:ascii="Calibri" w:hAnsi="Calibri"/>
        <w:b w:val="0"/>
        <w:i w:val="0"/>
        <w:color w:val="676A6E"/>
        <w:sz w:val="16"/>
      </w:rPr>
      <w:t xml:space="preserve">  |  BASE 134 · JAN–JUN/2026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A52A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A52A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15B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