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60"/>
        <w:jc w:val="center"/>
      </w:pPr>
      <w:r>
        <w:rPr>
          <w:rFonts w:ascii="Calibri" w:hAnsi="Calibri"/>
          <w:b/>
          <w:i w:val="0"/>
          <w:color w:val="A52A34"/>
          <w:sz w:val="20"/>
        </w:rPr>
        <w:t>GOVERNANÇA E DECISÃO</w:t>
      </w:r>
    </w:p>
    <w:p>
      <w:pPr>
        <w:spacing w:after="200"/>
        <w:jc w:val="center"/>
      </w:pPr>
      <w:r>
        <w:rPr>
          <w:rFonts w:ascii="Georgia" w:hAnsi="Georgia"/>
          <w:b w:val="0"/>
          <w:i w:val="0"/>
          <w:color w:val="202328"/>
          <w:sz w:val="58"/>
        </w:rPr>
        <w:t>Manual de Regras da Auditoria</w:t>
      </w:r>
    </w:p>
    <w:p>
      <w:pPr>
        <w:spacing w:after="640"/>
        <w:jc w:val="center"/>
      </w:pPr>
      <w:r>
        <w:rPr>
          <w:rFonts w:ascii="Calibri" w:hAnsi="Calibri"/>
          <w:b w:val="0"/>
          <w:i w:val="0"/>
          <w:color w:val="676A6E"/>
          <w:sz w:val="28"/>
        </w:rPr>
        <w:t>Critérios para analisar SS, OS e consolidar a New Base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1ED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A52A34"/>
                <w:sz w:val="16"/>
              </w:rPr>
              <w:t>ESCOPO CONTROLADO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20"/>
              </w:rPr>
              <w:t>134 registros · 01/01/2026 a 30/06/2026 · aprovação exclusiva de Matheus Gracia</w:t>
            </w:r>
          </w:p>
        </w:tc>
      </w:tr>
    </w:tbl>
    <w:p>
      <w:pPr>
        <w:spacing w:after="80"/>
      </w:pPr>
    </w:p>
    <w:p>
      <w:pPr>
        <w:spacing w:before="960"/>
        <w:jc w:val="center"/>
      </w:pPr>
      <w:r>
        <w:rPr>
          <w:rFonts w:ascii="Calibri" w:hAnsi="Calibri"/>
          <w:b w:val="0"/>
          <w:i/>
          <w:color w:val="676A6E"/>
          <w:sz w:val="18"/>
        </w:rPr>
        <w:t>Versão 1.0  ·  25 de julho de 2026</w:t>
      </w:r>
    </w:p>
    <w:p>
      <w:r>
        <w:br w:type="page"/>
      </w:r>
    </w:p>
    <w:p>
      <w:pPr>
        <w:pStyle w:val="Heading1"/>
      </w:pPr>
      <w:r>
        <w:t>Como usar este manual</w:t>
      </w:r>
    </w:p>
    <w:p>
      <w:r>
        <w:rPr>
          <w:rFonts w:ascii="Calibri" w:hAnsi="Calibri"/>
          <w:b w:val="0"/>
          <w:i w:val="0"/>
          <w:color w:val="202328"/>
          <w:sz w:val="22"/>
        </w:rPr>
        <w:t>Este documento é a referência operacional do sistema. A decisão deve ser reproduzível: qualquer pessoa autorizada precisa conseguir voltar da New Base até os textos originais da SS e da OS, obra, materiais, regra e histórico.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rPr>
          <w:cantSplit/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02328"/>
                <w:sz w:val="16"/>
              </w:rPr>
              <w:t>Seção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02328"/>
                <w:sz w:val="16"/>
              </w:rPr>
              <w:t>Uso</w:t>
            </w:r>
          </w:p>
        </w:tc>
      </w:tr>
      <w:tr>
        <w:trPr>
          <w:cantSplit/>
        </w:trPr>
        <w:tc>
          <w:tcPr>
            <w:tcW w:type="dxa" w:w="23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1–2</w:t>
            </w:r>
          </w:p>
        </w:tc>
        <w:tc>
          <w:tcPr>
            <w:tcW w:type="dxa" w:w="70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Escopo, fontes, nomenclatura e responsabilidades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3–5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Dimensões de análise e regras de inclusão, expurgo e revisão</w:t>
            </w:r>
          </w:p>
        </w:tc>
      </w:tr>
      <w:tr>
        <w:trPr>
          <w:cantSplit/>
        </w:trPr>
        <w:tc>
          <w:tcPr>
            <w:tcW w:type="dxa" w:w="23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6</w:t>
            </w:r>
          </w:p>
        </w:tc>
        <w:tc>
          <w:tcPr>
            <w:tcW w:type="dxa" w:w="70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SIGCO, FLC e tratamento de códigos divergentes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7–8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New Base, aprovação, histórico e controles de qualidade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</w:pPr>
      <w:r>
        <w:t>1. Escopo oficial</w:t>
      </w:r>
    </w:p>
    <w:p>
      <w:r>
        <w:rPr>
          <w:rFonts w:ascii="Calibri" w:hAnsi="Calibri"/>
          <w:b w:val="0"/>
          <w:i w:val="0"/>
          <w:color w:val="202328"/>
          <w:sz w:val="22"/>
        </w:rPr>
        <w:t>A auditoria desta versão considera somente os 134 registros do arquivo Painel_134_Completo.xlsx. O intervalo regulamentar é de 01/01/2026 a 30/06/2026; a maior data observada no arquivo é 25/06/2026.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cantSplit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02328"/>
                <w:sz w:val="16"/>
              </w:rPr>
              <w:t>Controle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02328"/>
                <w:sz w:val="16"/>
              </w:rPr>
              <w:t>Definição oficial</w:t>
            </w:r>
          </w:p>
        </w:tc>
      </w:tr>
      <w:tr>
        <w:trPr>
          <w:cantSplit/>
        </w:trPr>
        <w:tc>
          <w:tcPr>
            <w:tcW w:type="dxa" w:w="22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Universo</w:t>
            </w:r>
          </w:p>
        </w:tc>
        <w:tc>
          <w:tcPr>
            <w:tcW w:type="dxa" w:w="71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134 SS e 134 OS; 89 classificadas como QUEIMADO e 45 como AVARIADO na base recebida.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Data de competência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Data de abertura da SS. Não usar mês da OS, da obra ou do encerramento.</w:t>
            </w:r>
          </w:p>
        </w:tc>
      </w:tr>
      <w:tr>
        <w:trPr>
          <w:cantSplit/>
        </w:trPr>
        <w:tc>
          <w:tcPr>
            <w:tcW w:type="dxa" w:w="22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Unidade de análise</w:t>
            </w:r>
          </w:p>
        </w:tc>
        <w:tc>
          <w:tcPr>
            <w:tcW w:type="dxa" w:w="71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Uma linha por SS/OS. Havendo duplicidade ou mais de uma unidade vinculada, interromper a consolidação e revisar.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Ativos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Prefixo 57: transformador; 56: transformador particular; 58: regulador; 79: religador.</w:t>
            </w:r>
          </w:p>
        </w:tc>
      </w:tr>
      <w:tr>
        <w:trPr>
          <w:cantSplit/>
        </w:trPr>
        <w:tc>
          <w:tcPr>
            <w:tcW w:type="dxa" w:w="22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Aprovação</w:t>
            </w:r>
          </w:p>
        </w:tc>
        <w:tc>
          <w:tcPr>
            <w:tcW w:type="dxa" w:w="71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Somente Matheus Gracia pode aprovar ou rejeitar a análise consolidada.</w:t>
            </w:r>
          </w:p>
        </w:tc>
      </w:tr>
    </w:tbl>
    <w:p>
      <w:pPr>
        <w:spacing w:before="80"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1ED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A52A34"/>
                <w:sz w:val="16"/>
              </w:rPr>
              <w:t>REGRA DE BASE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20"/>
              </w:rPr>
              <w:t>A categoria operacional usada no processo é AVARIADO quando a evidência indicar avaria. A base recebida também contém registros originalmente marcados como QUEIMADO; essa origem deve ser preservada para comparação, nunca sobrescrita.</w:t>
            </w:r>
          </w:p>
        </w:tc>
      </w:tr>
    </w:tbl>
    <w:p>
      <w:pPr>
        <w:spacing w:after="80"/>
      </w:pPr>
    </w:p>
    <w:p>
      <w:pPr>
        <w:pStyle w:val="Heading1"/>
      </w:pPr>
      <w:r>
        <w:t>2. Fluxo obrigatório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50"/>
        <w:gridCol w:w="3200"/>
        <w:gridCol w:w="4110"/>
      </w:tblGrid>
      <w:tr>
        <w:trPr>
          <w:cantSplit/>
          <w:tblHeader w:val="true"/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02328"/>
                <w:sz w:val="16"/>
              </w:rPr>
              <w:t>Etapa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02328"/>
                <w:sz w:val="16"/>
              </w:rPr>
              <w:t>Entrada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02328"/>
                <w:sz w:val="16"/>
              </w:rPr>
              <w:t>Saída controlada</w:t>
            </w:r>
          </w:p>
        </w:tc>
      </w:tr>
      <w:tr>
        <w:trPr>
          <w:cantSplit/>
        </w:trPr>
        <w:tc>
          <w:tcPr>
            <w:tcW w:type="dxa" w:w="205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Análise de SS</w:t>
            </w:r>
          </w:p>
        </w:tc>
        <w:tc>
          <w:tcPr>
            <w:tcW w:type="dxa" w:w="32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Descrição integral da solicitação</w:t>
            </w:r>
          </w:p>
        </w:tc>
        <w:tc>
          <w:tcPr>
            <w:tcW w:type="dxa" w:w="411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Condição alegada, causa indicada, ativo, local, potência e trechos de evidência.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Análise por OS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Descrição integral da execução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Ação executada, ativo retirado/instalado, substituição ou reparo e contrapontos.</w:t>
            </w:r>
          </w:p>
        </w:tc>
      </w:tr>
      <w:tr>
        <w:trPr>
          <w:cantSplit/>
        </w:trPr>
        <w:tc>
          <w:tcPr>
            <w:tcW w:type="dxa" w:w="205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New Base — Análise Consolidada</w:t>
            </w:r>
          </w:p>
        </w:tc>
        <w:tc>
          <w:tcPr>
            <w:tcW w:type="dxa" w:w="32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SS + OS + obra + materiais + SIGCO</w:t>
            </w:r>
          </w:p>
        </w:tc>
        <w:tc>
          <w:tcPr>
            <w:tcW w:type="dxa" w:w="411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Decisão proposta, regra, justificativa, confiança, alertas, revisão e status de aprovação.</w:t>
            </w:r>
          </w:p>
        </w:tc>
      </w:tr>
    </w:tbl>
    <w:p>
      <w:pPr>
        <w:spacing w:before="80" w:after="80"/>
      </w:pP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328"/>
          <w:sz w:val="22"/>
        </w:rPr>
        <w:t>Nunca resumir a descrição antes de procurar negações, exceções e causas alternativas.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328"/>
          <w:sz w:val="22"/>
        </w:rPr>
        <w:t>Preservar os textos originais de SS e OS no detalhe do registro.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328"/>
          <w:sz w:val="22"/>
        </w:rPr>
        <w:t>Não permitir que o rótulo original da base decida sozinho o resultado.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328"/>
          <w:sz w:val="22"/>
        </w:rPr>
        <w:t>Separar proposta da IA de decisão oficial aprovada.</w:t>
      </w:r>
    </w:p>
    <w:p>
      <w:pPr>
        <w:pStyle w:val="Heading1"/>
      </w:pPr>
      <w:r>
        <w:t>3. Dimensões independentes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00"/>
        <w:gridCol w:w="7360"/>
      </w:tblGrid>
      <w:tr>
        <w:trPr>
          <w:cantSplit/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02328"/>
                <w:sz w:val="16"/>
              </w:rPr>
              <w:t>Dimensão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02328"/>
                <w:sz w:val="16"/>
              </w:rPr>
              <w:t>Pergunta que precisa ser respondida</w:t>
            </w:r>
          </w:p>
        </w:tc>
      </w:tr>
      <w:tr>
        <w:trPr>
          <w:cantSplit/>
        </w:trPr>
        <w:tc>
          <w:tcPr>
            <w:tcW w:type="dxa" w:w="20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Causa</w:t>
            </w:r>
          </w:p>
        </w:tc>
        <w:tc>
          <w:tcPr>
            <w:tcW w:type="dxa" w:w="73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O que originou o evento: queima, avaria, sobrecarga, furto, abalroamento, construção ou outra causa?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Condição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O equipamento estava queimado, avariado, sem defeito comprovado ou indeterminado?</w:t>
            </w:r>
          </w:p>
        </w:tc>
      </w:tr>
      <w:tr>
        <w:trPr>
          <w:cantSplit/>
        </w:trPr>
        <w:tc>
          <w:tcPr>
            <w:tcW w:type="dxa" w:w="20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Ação</w:t>
            </w:r>
          </w:p>
        </w:tc>
        <w:tc>
          <w:tcPr>
            <w:tcW w:type="dxa" w:w="73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Foi substituído, reparado, inspecionado, desativado ou não executado?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Material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Houve movimentação de transformador? Também houve poste? A consulta foi realmente realizada?</w:t>
            </w:r>
          </w:p>
        </w:tc>
      </w:tr>
      <w:tr>
        <w:trPr>
          <w:cantSplit/>
        </w:trPr>
        <w:tc>
          <w:tcPr>
            <w:tcW w:type="dxa" w:w="20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Obra</w:t>
            </w:r>
          </w:p>
        </w:tc>
        <w:tc>
          <w:tcPr>
            <w:tcW w:type="dxa" w:w="73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Há obra vinculada e qual é o estágio físico/técnico?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SIGCO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O código é coerente, divergente, não informado ou exige análise obrigatória?</w:t>
            </w:r>
          </w:p>
        </w:tc>
      </w:tr>
      <w:tr>
        <w:trPr>
          <w:cantSplit/>
        </w:trPr>
        <w:tc>
          <w:tcPr>
            <w:tcW w:type="dxa" w:w="20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Decisão</w:t>
            </w:r>
          </w:p>
        </w:tc>
        <w:tc>
          <w:tcPr>
            <w:tcW w:type="dxa" w:w="73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INCLUIR, EXPURGAR ou REVISÃO MANUAL.</w:t>
            </w:r>
          </w:p>
        </w:tc>
      </w:tr>
    </w:tbl>
    <w:p>
      <w:pPr>
        <w:spacing w:before="80"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ECEE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A52A34"/>
                <w:sz w:val="16"/>
              </w:rPr>
              <w:t>PROIBIÇÃO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20"/>
              </w:rPr>
              <w:t>Não inferir causa somente pela condição. “Queimado” não explica por que queimou; “substituído” não prova sozinho que deve entrar no indicador.</w:t>
            </w:r>
          </w:p>
        </w:tc>
      </w:tr>
    </w:tbl>
    <w:p>
      <w:pPr>
        <w:spacing w:after="80"/>
      </w:pPr>
    </w:p>
    <w:p>
      <w:pPr>
        <w:pStyle w:val="Heading1"/>
      </w:pPr>
      <w:r>
        <w:t>4. Regras de expurgo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3650"/>
        <w:gridCol w:w="4510"/>
      </w:tblGrid>
      <w:tr>
        <w:trPr>
          <w:cantSplit/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02328"/>
                <w:sz w:val="16"/>
              </w:rPr>
              <w:t>Regra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02328"/>
                <w:sz w:val="16"/>
              </w:rPr>
              <w:t>Gatilho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02328"/>
                <w:sz w:val="16"/>
              </w:rPr>
              <w:t>Tratamento</w:t>
            </w:r>
          </w:p>
        </w:tc>
      </w:tr>
      <w:tr>
        <w:trPr>
          <w:cantSplit/>
        </w:trPr>
        <w:tc>
          <w:tcPr>
            <w:tcW w:type="dxa" w:w="12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R-EXP-01</w:t>
            </w:r>
          </w:p>
        </w:tc>
        <w:tc>
          <w:tcPr>
            <w:tcW w:type="dxa" w:w="365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Furto, roubo ou vandalismo explícito</w:t>
            </w:r>
          </w:p>
        </w:tc>
        <w:tc>
          <w:tcPr>
            <w:tcW w:type="dxa" w:w="451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EXPURGAR automaticamente; preservar o trecho de evidência.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R-EXP-02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Equipamento particular/terceiro ou prefixo 56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EXPURGAR automaticamente.</w:t>
            </w:r>
          </w:p>
        </w:tc>
      </w:tr>
      <w:tr>
        <w:trPr>
          <w:cantSplit/>
        </w:trPr>
        <w:tc>
          <w:tcPr>
            <w:tcW w:type="dxa" w:w="12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R-EXP-03</w:t>
            </w:r>
          </w:p>
        </w:tc>
        <w:tc>
          <w:tcPr>
            <w:tcW w:type="dxa" w:w="365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Transformador auxiliar, regulador 58 ou religador 79</w:t>
            </w:r>
          </w:p>
        </w:tc>
        <w:tc>
          <w:tcPr>
            <w:tcW w:type="dxa" w:w="451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EXPURGAR do indicador principal; registrar o tipo do ativo.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R-EXP-04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Construção, nova ligação, desativação ou retirada definitiva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EXPURGAR com o motivo operacional.</w:t>
            </w:r>
          </w:p>
        </w:tc>
      </w:tr>
      <w:tr>
        <w:trPr>
          <w:cantSplit/>
        </w:trPr>
        <w:tc>
          <w:tcPr>
            <w:tcW w:type="dxa" w:w="12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R-EXP-05</w:t>
            </w:r>
          </w:p>
        </w:tc>
        <w:tc>
          <w:tcPr>
            <w:tcW w:type="dxa" w:w="365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Abalroamento, dano por veículo/terceiros ou poste danificado</w:t>
            </w:r>
          </w:p>
        </w:tc>
        <w:tc>
          <w:tcPr>
            <w:tcW w:type="dxa" w:w="451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EXPURGAR, marcar “Possível furto ou abalroamento” e enviar à aba Revisões.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R-MAT-01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Sem movimentação de transformador + obra em término físico, fiscalização aprovada ou encerramento técnico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EXPURGAR com o estágio da obra como evidência.</w:t>
            </w:r>
          </w:p>
        </w:tc>
      </w:tr>
      <w:tr>
        <w:trPr>
          <w:cantSplit/>
        </w:trPr>
        <w:tc>
          <w:tcPr>
            <w:tcW w:type="dxa" w:w="12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R-AVA-02</w:t>
            </w:r>
          </w:p>
        </w:tc>
        <w:tc>
          <w:tcPr>
            <w:tcW w:type="dxa" w:w="365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Reparo com cola/fita e sem movimentação de transformador</w:t>
            </w:r>
          </w:p>
        </w:tc>
        <w:tc>
          <w:tcPr>
            <w:tcW w:type="dxa" w:w="451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EXPURGAR por reparo sem substituição.</w:t>
            </w:r>
          </w:p>
        </w:tc>
      </w:tr>
    </w:tbl>
    <w:p>
      <w:pPr>
        <w:spacing w:before="80" w:after="80"/>
      </w:pPr>
    </w:p>
    <w:p>
      <w:r>
        <w:rPr>
          <w:rFonts w:ascii="Calibri" w:hAnsi="Calibri"/>
          <w:b w:val="0"/>
          <w:i w:val="0"/>
          <w:color w:val="202328"/>
          <w:sz w:val="22"/>
        </w:rPr>
        <w:t>Quando a obra estiver em encerramento técnico, término físico ou fiscalização aprovada e não existir movimentação de transformador, o registro deve ir para a base de expurgo com motivo explícito. A ausência de material só pode ser usada se a consulta de materiais tiver sido realizada.</w:t>
      </w:r>
    </w:p>
    <w:p>
      <w:pPr>
        <w:pStyle w:val="Heading1"/>
      </w:pPr>
      <w:r>
        <w:t>5. Inclusão e revisão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400"/>
        <w:gridCol w:w="2100"/>
        <w:gridCol w:w="3860"/>
      </w:tblGrid>
      <w:tr>
        <w:trPr>
          <w:cantSplit/>
          <w:tblHeader w:val="true"/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02328"/>
                <w:sz w:val="16"/>
              </w:rPr>
              <w:t>Situação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02328"/>
                <w:sz w:val="16"/>
              </w:rPr>
              <w:t>Decisão proposta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02328"/>
                <w:sz w:val="16"/>
              </w:rPr>
              <w:t>Controle adicional</w:t>
            </w:r>
          </w:p>
        </w:tc>
      </w:tr>
      <w:tr>
        <w:trPr>
          <w:cantSplit/>
        </w:trPr>
        <w:tc>
          <w:tcPr>
            <w:tcW w:type="dxa" w:w="34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Queima explícita + substituição + movimentação de transformador, sem contraponto</w:t>
            </w:r>
          </w:p>
        </w:tc>
        <w:tc>
          <w:tcPr>
            <w:tcW w:type="dxa" w:w="21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INCLUIR</w:t>
            </w:r>
          </w:p>
        </w:tc>
        <w:tc>
          <w:tcPr>
            <w:tcW w:type="dxa" w:w="38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Confirmar condição e preservar evidência de SS/OS.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Avaria explícita + substituição + movimentação de transformador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INCLUIR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Classificar como AVARIADO.</w:t>
            </w:r>
          </w:p>
        </w:tc>
      </w:tr>
      <w:tr>
        <w:trPr>
          <w:cantSplit/>
        </w:trPr>
        <w:tc>
          <w:tcPr>
            <w:tcW w:type="dxa" w:w="34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Sobrecarga, TAP ou preventivo</w:t>
            </w:r>
          </w:p>
        </w:tc>
        <w:tc>
          <w:tcPr>
            <w:tcW w:type="dxa" w:w="21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REVISÃO MANUAL</w:t>
            </w:r>
          </w:p>
        </w:tc>
        <w:tc>
          <w:tcPr>
            <w:tcW w:type="dxa" w:w="38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Análise por SIGCO; não concluir pela palavra “troca”.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Trafo no chão/ausente sem furto explícito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REVISÃO MANUAL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Indicar “Possível furto ou abalroamento”.</w:t>
            </w:r>
          </w:p>
        </w:tc>
      </w:tr>
      <w:tr>
        <w:trPr>
          <w:cantSplit/>
        </w:trPr>
        <w:tc>
          <w:tcPr>
            <w:tcW w:type="dxa" w:w="34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Sem obra localizada</w:t>
            </w:r>
          </w:p>
        </w:tc>
        <w:tc>
          <w:tcPr>
            <w:tcW w:type="dxa" w:w="21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REVISÃO MANUAL</w:t>
            </w:r>
          </w:p>
        </w:tc>
        <w:tc>
          <w:tcPr>
            <w:tcW w:type="dxa" w:w="38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Matheus Gracia; não presumir estágio ou material.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Movimentação simultânea de trafo e poste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REVISÃO MANUAL ou expurgo conforme causa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Investigar dano estrutural/abalroamento.</w:t>
            </w:r>
          </w:p>
        </w:tc>
      </w:tr>
      <w:tr>
        <w:trPr>
          <w:cantSplit/>
        </w:trPr>
        <w:tc>
          <w:tcPr>
            <w:tcW w:type="dxa" w:w="34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Baixa confiança, conflito ou texto genérico</w:t>
            </w:r>
          </w:p>
        </w:tc>
        <w:tc>
          <w:tcPr>
            <w:tcW w:type="dxa" w:w="21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REVISÃO MANUAL</w:t>
            </w:r>
          </w:p>
        </w:tc>
        <w:tc>
          <w:tcPr>
            <w:tcW w:type="dxa" w:w="38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Registrar o conflito e o dado faltante.</w:t>
            </w:r>
          </w:p>
        </w:tc>
      </w:tr>
    </w:tbl>
    <w:p>
      <w:pPr>
        <w:spacing w:before="80"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1ED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A52A34"/>
                <w:sz w:val="16"/>
              </w:rPr>
              <w:t>FILA DE REVISÕES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20"/>
              </w:rPr>
              <w:t>A revisão não é descarte. Ela mantém o registro rastreável até Matheus Gracia decidir, com motivo provável derivado da SS e sem alterar o dado original.</w:t>
            </w:r>
          </w:p>
        </w:tc>
      </w:tr>
    </w:tbl>
    <w:p>
      <w:pPr>
        <w:spacing w:after="80"/>
      </w:pPr>
    </w:p>
    <w:p>
      <w:pPr>
        <w:pStyle w:val="Heading1"/>
      </w:pPr>
      <w:r>
        <w:t>6. Regras de SIGCO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7760"/>
      </w:tblGrid>
      <w:tr>
        <w:trPr>
          <w:cantSplit/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02328"/>
                <w:sz w:val="16"/>
              </w:rPr>
              <w:t>Código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02328"/>
                <w:sz w:val="16"/>
              </w:rPr>
              <w:t>Leitura operacional</w:t>
            </w:r>
          </w:p>
        </w:tc>
      </w:tr>
      <w:tr>
        <w:trPr>
          <w:cantSplit/>
        </w:trPr>
        <w:tc>
          <w:tcPr>
            <w:tcW w:type="dxa" w:w="16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20497</w:t>
            </w:r>
          </w:p>
        </w:tc>
        <w:tc>
          <w:tcPr>
            <w:tcW w:type="dxa" w:w="77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Código corrigido para abalroamento. Se a narrativa não sustentar essa causa, marcar como divergente.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25983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Permitido, mas sempre deve seguir para Análise por SIGCO.</w:t>
            </w:r>
          </w:p>
        </w:tc>
      </w:tr>
      <w:tr>
        <w:trPr>
          <w:cantSplit/>
        </w:trPr>
        <w:tc>
          <w:tcPr>
            <w:tcW w:type="dxa" w:w="16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8812</w:t>
            </w:r>
          </w:p>
        </w:tc>
        <w:tc>
          <w:tcPr>
            <w:tcW w:type="dxa" w:w="77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Esperado para transformador queimado; comparar com condição consolidada.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25962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Esperado para transformador avariado; comparar com condição consolidada.</w:t>
            </w:r>
          </w:p>
        </w:tc>
      </w:tr>
      <w:tr>
        <w:trPr>
          <w:cantSplit/>
        </w:trPr>
        <w:tc>
          <w:tcPr>
            <w:tcW w:type="dxa" w:w="16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8385</w:t>
            </w:r>
          </w:p>
        </w:tc>
        <w:tc>
          <w:tcPr>
            <w:tcW w:type="dxa" w:w="77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Não comprova falha sozinho. Pode ser coerente com finalidade/sobrecarga e requer contexto.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#N/A ou vazio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Recomendar abertura/correção na análise por SIGCO, sempre com motivo.</w:t>
            </w:r>
          </w:p>
        </w:tc>
      </w:tr>
    </w:tbl>
    <w:p>
      <w:pPr>
        <w:spacing w:before="80" w:after="80"/>
      </w:pPr>
    </w:p>
    <w:p>
      <w:r>
        <w:rPr>
          <w:rFonts w:ascii="Calibri" w:hAnsi="Calibri"/>
          <w:b w:val="0"/>
          <w:i w:val="0"/>
          <w:color w:val="202328"/>
          <w:sz w:val="22"/>
        </w:rPr>
        <w:t>A IA pode recomendar a abertura ou correção de FLC e indicar o motivo, mas não pode executar a abertura. A recomendação deve ficar registrada no histórico do caso.</w:t>
      </w:r>
    </w:p>
    <w:p>
      <w:pPr>
        <w:pStyle w:val="Heading1"/>
      </w:pPr>
      <w:r>
        <w:t>7. New Base — Análise Consolidada</w:t>
      </w:r>
    </w:p>
    <w:p>
      <w:r>
        <w:rPr>
          <w:rFonts w:ascii="Calibri" w:hAnsi="Calibri"/>
          <w:b w:val="0"/>
          <w:i w:val="0"/>
          <w:color w:val="202328"/>
          <w:sz w:val="22"/>
        </w:rPr>
        <w:t>A New Base contém os 134 registros, um por SS/OS. Ela é a camada de decisão e não substitui as fontes.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cantSplit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02328"/>
                <w:sz w:val="16"/>
              </w:rPr>
              <w:t>Grupo de campos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02328"/>
                <w:sz w:val="16"/>
              </w:rPr>
              <w:t>Conteúdo mínimo</w:t>
            </w:r>
          </w:p>
        </w:tc>
      </w:tr>
      <w:tr>
        <w:trPr>
          <w:cantSplit/>
        </w:trPr>
        <w:tc>
          <w:tcPr>
            <w:tcW w:type="dxa" w:w="22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Identificação</w:t>
            </w:r>
          </w:p>
        </w:tc>
        <w:tc>
          <w:tcPr>
            <w:tcW w:type="dxa" w:w="71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ID de auditoria, SS, OS, obra, data de abertura, localidade, potência e SIGCO.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Evidência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Descrição original da SS, descrição original da OS, obra, material e trechos usados pela regra.</w:t>
            </w:r>
          </w:p>
        </w:tc>
      </w:tr>
      <w:tr>
        <w:trPr>
          <w:cantSplit/>
        </w:trPr>
        <w:tc>
          <w:tcPr>
            <w:tcW w:type="dxa" w:w="22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Decisão</w:t>
            </w:r>
          </w:p>
        </w:tc>
        <w:tc>
          <w:tcPr>
            <w:tcW w:type="dxa" w:w="71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Condição, causa, ação, decisão, regra aplicada, justificativa e nível de confiança.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Governança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Status de aprovação, responsável, revisão, comentário, data/hora e histórico.</w:t>
            </w:r>
          </w:p>
        </w:tc>
      </w:tr>
      <w:tr>
        <w:trPr>
          <w:cantSplit/>
        </w:trPr>
        <w:tc>
          <w:tcPr>
            <w:tcW w:type="dxa" w:w="22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Financeiro</w:t>
            </w:r>
          </w:p>
        </w:tc>
        <w:tc>
          <w:tcPr>
            <w:tcW w:type="dxa" w:w="71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Material, orçamento e realizado, sempre vindos da base de obras.</w:t>
            </w:r>
          </w:p>
        </w:tc>
      </w:tr>
    </w:tbl>
    <w:p>
      <w:pPr>
        <w:spacing w:before="80" w:after="80"/>
      </w:pP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202328"/>
          <w:sz w:val="22"/>
        </w:rPr>
        <w:t>PENDENTE: proposta ainda não oficial.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202328"/>
          <w:sz w:val="22"/>
        </w:rPr>
        <w:t>APROVADO: decisão oficial e imutável.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202328"/>
          <w:sz w:val="22"/>
        </w:rPr>
        <w:t>REJEITADO: devolvido com comentário obrigatório.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202328"/>
          <w:sz w:val="22"/>
        </w:rPr>
        <w:t>REABERTO/NOVA REVISÃO: correção sem apagar a versão aprovada.</w:t>
      </w:r>
    </w:p>
    <w:p>
      <w:pPr>
        <w:pStyle w:val="Heading1"/>
      </w:pPr>
      <w:r>
        <w:t>8. Aprovação, histórico e qualidade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cantSplit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02328"/>
                <w:sz w:val="16"/>
              </w:rPr>
              <w:t>Controle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202328"/>
                <w:sz w:val="16"/>
              </w:rPr>
              <w:t>Critério de aceite</w:t>
            </w:r>
          </w:p>
        </w:tc>
      </w:tr>
      <w:tr>
        <w:trPr>
          <w:cantSplit/>
        </w:trPr>
        <w:tc>
          <w:tcPr>
            <w:tcW w:type="dxa" w:w="22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Comentário</w:t>
            </w:r>
          </w:p>
        </w:tc>
        <w:tc>
          <w:tcPr>
            <w:tcW w:type="dxa" w:w="71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Obrigatório para aprovar, rejeitar ou reabrir.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Permissão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Somente o usuário administrador Matheus Gracia aprova.</w:t>
            </w:r>
          </w:p>
        </w:tc>
      </w:tr>
      <w:tr>
        <w:trPr>
          <w:cantSplit/>
        </w:trPr>
        <w:tc>
          <w:tcPr>
            <w:tcW w:type="dxa" w:w="22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Imutabilidade</w:t>
            </w:r>
          </w:p>
        </w:tc>
        <w:tc>
          <w:tcPr>
            <w:tcW w:type="dxa" w:w="71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Registro aprovado não é editado; cria-se nova revisão vinculada.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Histórico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Guardar usuário, data/hora, campo alterado, antes/depois, regra e comentário.</w:t>
            </w:r>
          </w:p>
        </w:tc>
      </w:tr>
      <w:tr>
        <w:trPr>
          <w:cantSplit/>
        </w:trPr>
        <w:tc>
          <w:tcPr>
            <w:tcW w:type="dxa" w:w="220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Oficial x proposta</w:t>
            </w:r>
          </w:p>
        </w:tc>
        <w:tc>
          <w:tcPr>
            <w:tcW w:type="dxa" w:w="7160"/>
            <w:shd w:fill="FAF9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Dashboards devem separar base carregada, proposta da IA e totais aprovados.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Reconciliação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328"/>
                <w:sz w:val="17"/>
              </w:rPr>
              <w:t>A soma das decisões da New Base deve sempre resultar em 134 registros.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2"/>
      </w:pPr>
      <w:r>
        <w:t>Checklist final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202328"/>
          <w:sz w:val="22"/>
        </w:rPr>
        <w:t>A New Base possui exatamente 134 linhas e uma única linha para cada SS/OS.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202328"/>
          <w:sz w:val="22"/>
        </w:rPr>
        <w:t>Todas as datas de competência vêm da abertura da SS e estão entre 01/01/2026 e 30/06/2026.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202328"/>
          <w:sz w:val="22"/>
        </w:rPr>
        <w:t>As descrições originais de SS e OS continuam disponíveis sem sobrescrita.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202328"/>
          <w:sz w:val="22"/>
        </w:rPr>
        <w:t>Condição, causa, ação, material, obra, SIGCO e decisão foram avaliados separadamente.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202328"/>
          <w:sz w:val="22"/>
        </w:rPr>
        <w:t>Cada decisão proposta apresenta regra, justificativa, confiança e evidência rastreável.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202328"/>
          <w:sz w:val="22"/>
        </w:rPr>
        <w:t>Expurgos automáticos possuem motivo; os de possível abalroamento também aparecem em Revisões.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202328"/>
          <w:sz w:val="22"/>
        </w:rPr>
        <w:t>Casos de sobrecarga/TAP e códigos não conclusivos aparecem em Análise por SIGCO.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202328"/>
          <w:sz w:val="22"/>
        </w:rPr>
        <w:t>Valores financeiros foram trazidos das abas de obra e não foram estimados pela IA.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202328"/>
          <w:sz w:val="22"/>
        </w:rPr>
        <w:t>Propostas pendentes não foram misturadas com totais oficiais aprovados.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rPr>
          <w:rFonts w:ascii="Calibri" w:hAnsi="Calibri"/>
          <w:b w:val="0"/>
          <w:i w:val="0"/>
          <w:color w:val="202328"/>
          <w:sz w:val="22"/>
        </w:rPr>
        <w:t>Somente Matheus Gracia pode aprovar, rejeitar ou abrir nova revisão, sempre com comentário.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b w:val="0"/>
        <w:i w:val="0"/>
        <w:color w:val="676A6E"/>
        <w:sz w:val="16"/>
      </w:rPr>
      <w:t xml:space="preserve">Auditoria de Transformadores  ·  </w:t>
    </w:r>
    <w:r>
      <w:rPr>
        <w:rFonts w:ascii="Calibri" w:hAnsi="Calibri"/>
        <w:b w:val="0"/>
        <w:i w:val="0"/>
        <w:color w:val="676A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76A6E"/>
        <w:sz w:val="16"/>
      </w:rPr>
      <w:t>MANUAL DE REGRAS</w:t>
    </w:r>
    <w:r>
      <w:rPr>
        <w:rFonts w:ascii="Calibri" w:hAnsi="Calibri"/>
        <w:b w:val="0"/>
        <w:i w:val="0"/>
        <w:color w:val="676A6E"/>
        <w:sz w:val="16"/>
      </w:rPr>
      <w:t xml:space="preserve">  |  BASE 134 · JAN–JUN/2026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3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A52A3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A52A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315B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