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A4232C"/>
          <w:sz w:val="18"/>
        </w:rPr>
        <w:t>DECISION-MAKING LAB 1  ·  GRADING RUBRIC  ·  5 POINTS</w:t>
      </w:r>
    </w:p>
    <w:p>
      <w:pPr>
        <w:spacing w:before="40" w:after="40"/>
      </w:pPr>
      <w:r>
        <w:rPr>
          <w:rFonts w:ascii="Calibri" w:hAnsi="Calibri"/>
          <w:b/>
          <w:sz w:val="40"/>
        </w:rPr>
        <w:t>Decision-Making Lab 1 — Scope-of-Competence Scenario</w:t>
      </w:r>
    </w:p>
    <w:p>
      <w:pPr>
        <w:spacing w:after="240"/>
      </w:pPr>
      <w:r>
        <w:rPr>
          <w:i/>
          <w:color w:val="6B6B6B"/>
          <w:sz w:val="20"/>
        </w:rPr>
        <w:t>Module 01 · Week 01 · Section 1.0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THE SCENARIO</w:t>
      </w:r>
    </w:p>
    <w:p>
      <w:pPr>
        <w:spacing w:before="120" w:after="240"/>
        <w:ind w:left="360" w:right="360"/>
        <w:pBdr>
          <w:left w:val="single" w:sz="18" w:space="8" w:color="A4232C"/>
        </w:pBdr>
      </w:pPr>
      <w:r>
        <w:rPr>
          <w:rFonts w:ascii="Calibri" w:hAnsi="Calibri"/>
          <w:i/>
          <w:sz w:val="21"/>
        </w:rPr>
        <w:t>You are a recently certified BCBA working in a community-based ABA agency in Queens. Your supervisor offers you a contract to provide in-home services to a 7-year-old autistic child whose family recently arrived from South Korea. The parents speak limited English and prefer to communicate in Korean. The child has minimal vocal-verbal behavior. You have no formal training in working with culturally and linguistically diverse families, no Korean language proficiency, and limited knowledge of how autism is understood within Korean-American communities. The supervisor tells you, "We don't have anyone else available — and they really need someone."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YOUR VIDEO MUST ADDRESS</w:t>
      </w:r>
    </w:p>
    <w:p>
      <w:pPr>
        <w:pStyle w:val="ListNumber"/>
        <w:spacing w:after="40"/>
      </w:pPr>
      <w:r>
        <w:rPr>
          <w:sz w:val="21"/>
        </w:rPr>
        <w:t>A restatement of the facts and a list of all relevant stakeholders.</w:t>
      </w:r>
    </w:p>
    <w:p>
      <w:pPr>
        <w:pStyle w:val="ListNumber"/>
        <w:spacing w:after="40"/>
      </w:pPr>
      <w:r>
        <w:rPr>
          <w:sz w:val="21"/>
        </w:rPr>
        <w:t>The relevant Code citations — at minimum 1.05 (Scope of Competence), 1.07 (Cultural Responsiveness), 2.01 (Effective Treatment), and 3.04 (Service Agreement). Identify others that apply.</w:t>
      </w:r>
    </w:p>
    <w:p>
      <w:pPr>
        <w:pStyle w:val="ListNumber"/>
        <w:spacing w:after="40"/>
      </w:pPr>
      <w:r>
        <w:rPr>
          <w:sz w:val="21"/>
        </w:rPr>
        <w:t>Identification of the relevant Core Principles.</w:t>
      </w:r>
    </w:p>
    <w:p>
      <w:pPr>
        <w:pStyle w:val="ListNumber"/>
        <w:spacing w:after="40"/>
      </w:pPr>
      <w:r>
        <w:rPr>
          <w:sz w:val="21"/>
        </w:rPr>
        <w:t>At least three considered courses of action with anticipated consequences for each.</w:t>
      </w:r>
    </w:p>
    <w:p>
      <w:pPr>
        <w:pStyle w:val="ListNumber"/>
        <w:spacing w:after="40"/>
      </w:pPr>
      <w:r>
        <w:rPr>
          <w:sz w:val="21"/>
        </w:rPr>
        <w:t>Your selected action and a clear rationale grounded in the Code and Core Principles.</w:t>
      </w:r>
    </w:p>
    <w:p>
      <w:pPr>
        <w:pStyle w:val="ListNumber"/>
        <w:spacing w:after="40"/>
      </w:pPr>
      <w:r>
        <w:rPr>
          <w:sz w:val="21"/>
        </w:rPr>
        <w:t>A brief reflection on personal biases or learning history that shaped your analysis (per Code 1.10).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FORMAT</w:t>
      </w:r>
    </w:p>
    <w:p>
      <w:pPr>
        <w:spacing w:after="120"/>
      </w:pPr>
      <w:r>
        <w:rPr>
          <w:rFonts w:ascii="Calibri" w:hAnsi="Calibri"/>
          <w:sz w:val="21"/>
        </w:rPr>
        <w:t>5–7 minute Brightspace Discussion Video, recorded directly in the Brightspace discussion thread. Cite Code sections by number as you discuss them — verbal citations are fine. Visual aids (e.g., a slide showing key Code citations) are welcome but not required.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GRADING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304"/>
            <w:shd w:val="clear" w:color="auto" w:fill="A4232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792"/>
            <w:shd w:val="clear" w:color="auto" w:fill="A4232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type="dxa" w:w="1800"/>
            <w:shd w:val="clear" w:color="auto" w:fill="A4232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Exemplary</w:t>
            </w:r>
          </w:p>
        </w:tc>
        <w:tc>
          <w:tcPr>
            <w:tcW w:type="dxa" w:w="1800"/>
            <w:shd w:val="clear" w:color="auto" w:fill="A4232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Proficient</w:t>
            </w:r>
          </w:p>
        </w:tc>
        <w:tc>
          <w:tcPr>
            <w:tcW w:type="dxa" w:w="1800"/>
            <w:shd w:val="clear" w:color="auto" w:fill="A4232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Developing</w:t>
            </w:r>
          </w:p>
        </w:tc>
        <w:tc>
          <w:tcPr>
            <w:tcW w:type="dxa" w:w="1800"/>
            <w:shd w:val="clear" w:color="auto" w:fill="A4232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 Yet</w:t>
            </w:r>
          </w:p>
        </w:tc>
      </w:tr>
      <w:tr>
        <w:tc>
          <w:tcPr>
            <w:tcW w:type="dxa" w:w="2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sz w:val="20"/>
              </w:rPr>
              <w:t>Facts &amp; Stakeholders</w:t>
            </w:r>
          </w:p>
        </w:tc>
        <w:tc>
          <w:tcPr>
            <w:tcW w:type="dxa" w:w="79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1.0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Restates all relevant facts; names every stakeholder including the client; identifies non-obvious stakeholders.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Restates facts accurately; names primary stakeholders.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Some facts restated; one or more major stakeholders missed.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Facts incomplete or inaccurate; stakeholder list missing.</w:t>
            </w:r>
          </w:p>
        </w:tc>
      </w:tr>
      <w:tr>
        <w:tc>
          <w:tcPr>
            <w:tcW w:type="dxa" w:w="2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sz w:val="20"/>
              </w:rPr>
              <w:t>Code Citations</w:t>
            </w:r>
          </w:p>
        </w:tc>
        <w:tc>
          <w:tcPr>
            <w:tcW w:type="dxa" w:w="79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1.0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Cites the 4 required codes plus 2+ additional accurate citations; quotes Code language precisely.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Cites the 4 required codes accurately.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Cites 2–3 required codes; some inaccuracy.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Fewer than 2 codes cited; or citations inaccurate.</w:t>
            </w:r>
          </w:p>
        </w:tc>
      </w:tr>
      <w:tr>
        <w:tc>
          <w:tcPr>
            <w:tcW w:type="dxa" w:w="2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sz w:val="20"/>
              </w:rPr>
              <w:t>Core Principles</w:t>
            </w:r>
          </w:p>
        </w:tc>
        <w:tc>
          <w:tcPr>
            <w:tcW w:type="dxa" w:w="79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0.5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Names relevant Principles; explains how each operates in this case.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Names relevant Principles with brief explanation.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Names Principles without explanation.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Principles missing or misidentified.</w:t>
            </w:r>
          </w:p>
        </w:tc>
      </w:tr>
      <w:tr>
        <w:tc>
          <w:tcPr>
            <w:tcW w:type="dxa" w:w="2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sz w:val="20"/>
              </w:rPr>
              <w:t>Courses of Action</w:t>
            </w:r>
          </w:p>
        </w:tc>
        <w:tc>
          <w:tcPr>
            <w:tcW w:type="dxa" w:w="79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1.0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3+ distinct, considered courses with realistic anticipated consequences for each.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3 courses with consequences noted.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2 courses, or 3 courses with thin consequences.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&lt;2 courses, or consequences absent.</w:t>
            </w:r>
          </w:p>
        </w:tc>
      </w:tr>
      <w:tr>
        <w:tc>
          <w:tcPr>
            <w:tcW w:type="dxa" w:w="2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sz w:val="20"/>
              </w:rPr>
              <w:t>Selected Action &amp; Rationale</w:t>
            </w:r>
          </w:p>
        </w:tc>
        <w:tc>
          <w:tcPr>
            <w:tcW w:type="dxa" w:w="79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1.0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Action chosen with rationale tied to Code, Principles, and the case specifics; honest about tradeoffs.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Action chosen with rationale tied to Code &amp; Principles.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Action chosen but rationale weak or generic.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Action unclear; no rationale.</w:t>
            </w:r>
          </w:p>
        </w:tc>
      </w:tr>
      <w:tr>
        <w:tc>
          <w:tcPr>
            <w:tcW w:type="dxa" w:w="2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sz w:val="20"/>
              </w:rPr>
              <w:t>Personal Bias Reflection (Code 1.10)</w:t>
            </w:r>
          </w:p>
        </w:tc>
        <w:tc>
          <w:tcPr>
            <w:tcW w:type="dxa" w:w="79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0.5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Honest, specific reflection on personal biases / learning history; connects to scenario.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Brief but relevant reflection on bias.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Generic reflection without scenario tie.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  <w:t>No reflection.</w:t>
            </w:r>
          </w:p>
        </w:tc>
      </w:tr>
      <w:tr>
        <w:tc>
          <w:tcPr>
            <w:tcW w:type="dxa" w:w="2304"/>
            <w:shd w:val="clear" w:color="auto" w:fill="F2EAE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792"/>
            <w:shd w:val="clear" w:color="auto" w:fill="F2EAE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5.0</w:t>
            </w:r>
          </w:p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/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/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/>
        </w:tc>
        <w:tc>
          <w:tcPr>
            <w:tcW w:type="dxa" w:w="18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/>
        </w:tc>
      </w:tr>
    </w:tbl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HOW POINTS ARE AWARDED</w:t>
      </w:r>
    </w:p>
    <w:p>
      <w:pPr>
        <w:spacing w:after="120"/>
      </w:pPr>
      <w:r>
        <w:rPr>
          <w:rFonts w:ascii="Calibri" w:hAnsi="Calibri"/>
          <w:i/>
          <w:sz w:val="20"/>
        </w:rPr>
        <w:t>Exemplary = full points for that criterion. Proficient = 75% of points. Developing = 50% of points. Not Yet = 0–25% of points. Rounded to nearest 0.25.</w:t>
      </w:r>
    </w:p>
    <w:p>
      <w:pPr>
        <w:spacing w:before="360"/>
        <w:jc w:val="center"/>
      </w:pPr>
      <w:r>
        <w:rPr>
          <w:i/>
          <w:color w:val="6B6B6B"/>
          <w:sz w:val="16"/>
        </w:rPr>
        <w:t>ECPSE 729 · Ethics &amp; Professionalism in Applied Behavior Analysis  ·  Summer 2026  ·  Dr. Lenwood Gibson · Queens College, CUNY  ·  Module 01 · Week 01 · Section 1.0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