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A4232C"/>
          <w:sz w:val="18"/>
        </w:rPr>
        <w:t>DECISION-MAKING LAB 2  ·  GRADING RUBRIC  ·  5 POINTS</w:t>
      </w:r>
    </w:p>
    <w:p>
      <w:pPr>
        <w:spacing w:before="40" w:after="40"/>
      </w:pPr>
      <w:r>
        <w:rPr>
          <w:rFonts w:ascii="Calibri" w:hAnsi="Calibri"/>
          <w:b/>
          <w:sz w:val="40"/>
        </w:rPr>
        <w:t>Decision-Making Lab 2 — Assent Withdrawal &amp; Stakeholder Disagreement</w:t>
      </w:r>
    </w:p>
    <w:p>
      <w:pPr>
        <w:spacing w:after="240"/>
      </w:pPr>
      <w:r>
        <w:rPr>
          <w:i/>
          <w:color w:val="6B6B6B"/>
          <w:sz w:val="20"/>
        </w:rPr>
        <w:t>Module 02 · Week 02 · Section 2.0</w:t>
      </w:r>
    </w:p>
    <w:p>
      <w:pPr>
        <w:spacing w:before="280" w:after="80"/>
      </w:pPr>
      <w:r>
        <w:rPr>
          <w:rFonts w:ascii="Calibri" w:hAnsi="Calibri"/>
          <w:b/>
          <w:color w:val="A4232C"/>
          <w:sz w:val="20"/>
        </w:rPr>
        <w:t>THE SCENARIO</w:t>
      </w:r>
    </w:p>
    <w:p>
      <w:pPr>
        <w:spacing w:before="120" w:after="240"/>
        <w:ind w:left="360" w:right="360"/>
        <w:pBdr>
          <w:left w:val="single" w:sz="18" w:space="8" w:color="A4232C"/>
        </w:pBdr>
      </w:pPr>
      <w:r>
        <w:rPr>
          <w:rFonts w:ascii="Calibri" w:hAnsi="Calibri"/>
          <w:i/>
          <w:sz w:val="21"/>
        </w:rPr>
        <w:t>Mason is a 14-year-old autistic teen who has been in ABA services since age 4. Last week, his mother forwarded you a 600-word document Mason wrote in his Notes app titled "Why I Don't Want ABA Anymore." In it, he describes therapy as "exhausting," says the targeted skills feel like "performing being normal," cites being told to suppress hand-flapping in public as the most painful part of his sessions, and explicitly asks that services stop. His mother tells you she understands he's frustrated but that "he doesn't get to make this decision — he needs the structure and we've worked too hard for him to throw it away now." Your agency contract for Mason runs another six months. Mason will reach the age of majority in four years. The supervising BCaBA on the case has been pushing back against Mason's "non-compliance" in recent sessions and has asked you to authorize a more intensive prompting hierarchy.</w:t>
      </w:r>
    </w:p>
    <w:p>
      <w:pPr>
        <w:spacing w:before="280" w:after="80"/>
      </w:pPr>
      <w:r>
        <w:rPr>
          <w:rFonts w:ascii="Calibri" w:hAnsi="Calibri"/>
          <w:b/>
          <w:color w:val="A4232C"/>
          <w:sz w:val="20"/>
        </w:rPr>
        <w:t>YOUR VIDEO MUST ADDRESS</w:t>
      </w:r>
    </w:p>
    <w:p>
      <w:pPr>
        <w:pStyle w:val="ListNumber"/>
        <w:spacing w:after="40"/>
      </w:pPr>
      <w:r>
        <w:rPr>
          <w:sz w:val="21"/>
        </w:rPr>
        <w:t>A restatement of the facts and a list of all relevant stakeholders — including Mason as a stakeholder in his own right.</w:t>
      </w:r>
    </w:p>
    <w:p>
      <w:pPr>
        <w:pStyle w:val="ListNumber"/>
        <w:spacing w:after="40"/>
      </w:pPr>
      <w:r>
        <w:rPr>
          <w:sz w:val="21"/>
        </w:rPr>
        <w:t>The relevant Code citations — at minimum 2.01 (Effective Treatment), 2.09 (Behavior-Analytic Service Delivery), 2.14 (Discontinuing Services), 3.04 (Service Agreement), 3.07 (Assent), 3.10 (Selecting Interventions). Identify others that apply.</w:t>
      </w:r>
    </w:p>
    <w:p>
      <w:pPr>
        <w:pStyle w:val="ListNumber"/>
        <w:spacing w:after="40"/>
      </w:pPr>
      <w:r>
        <w:rPr>
          <w:sz w:val="21"/>
        </w:rPr>
        <w:t>Identification of the relevant Core Principles — paying particular attention to Benefit Others and Respect People's Autonomy.</w:t>
      </w:r>
    </w:p>
    <w:p>
      <w:pPr>
        <w:pStyle w:val="ListNumber"/>
        <w:spacing w:after="40"/>
      </w:pPr>
      <w:r>
        <w:rPr>
          <w:sz w:val="21"/>
        </w:rPr>
        <w:t>At least three considered courses of action with anticipated consequences for each. One of the three must take Mason's request seriously as the primary signal.</w:t>
      </w:r>
    </w:p>
    <w:p>
      <w:pPr>
        <w:pStyle w:val="ListNumber"/>
        <w:spacing w:after="40"/>
      </w:pPr>
      <w:r>
        <w:rPr>
          <w:sz w:val="21"/>
        </w:rPr>
        <w:t>Your selected action and a clear rationale grounded in the Code, the Core Principles, and the autistic self-advocacy frame from this week's readings.</w:t>
      </w:r>
    </w:p>
    <w:p>
      <w:pPr>
        <w:pStyle w:val="ListNumber"/>
        <w:spacing w:after="40"/>
      </w:pPr>
      <w:r>
        <w:rPr>
          <w:sz w:val="21"/>
        </w:rPr>
        <w:t>A brief reflection on how you'd handle the BCaBA's request for a more intensive prompting hierarchy (per Codes 4.05 and 2.16).</w:t>
      </w:r>
    </w:p>
    <w:p>
      <w:pPr>
        <w:spacing w:before="280" w:after="80"/>
      </w:pPr>
      <w:r>
        <w:rPr>
          <w:rFonts w:ascii="Calibri" w:hAnsi="Calibri"/>
          <w:b/>
          <w:color w:val="A4232C"/>
          <w:sz w:val="20"/>
        </w:rPr>
        <w:t>FORMAT</w:t>
      </w:r>
    </w:p>
    <w:p>
      <w:pPr>
        <w:spacing w:after="120"/>
      </w:pPr>
      <w:r>
        <w:rPr>
          <w:rFonts w:ascii="Calibri" w:hAnsi="Calibri"/>
          <w:sz w:val="21"/>
        </w:rPr>
        <w:t>5–7 minute Brightspace Discussion Video, recorded directly in the Brightspace discussion thread. Cite Code sections by number as you discuss them — verbal citations are fine. Visual aids (e.g., a slide showing key Code citations) are welcome but not required.</w:t>
      </w:r>
    </w:p>
    <w:p>
      <w:pPr>
        <w:spacing w:before="280" w:after="80"/>
      </w:pPr>
      <w:r>
        <w:rPr>
          <w:rFonts w:ascii="Calibri" w:hAnsi="Calibri"/>
          <w:b/>
          <w:color w:val="A4232C"/>
          <w:sz w:val="20"/>
        </w:rPr>
        <w:t>GRADING RUBRIC</w:t>
      </w:r>
    </w:p>
    <w:tbl>
      <w:tblPr>
        <w:tblW w:type="auto" w:w="0"/>
        <w:jc w:val="center"/>
        <w:tblLayout w:type="fixed"/>
        <w:tblLook w:firstColumn="1" w:firstRow="1" w:lastColumn="0" w:lastRow="0" w:noHBand="0" w:noVBand="1" w:val="04A0"/>
      </w:tblPr>
      <w:tblGrid>
        <w:gridCol w:w="1704"/>
        <w:gridCol w:w="1704"/>
        <w:gridCol w:w="1704"/>
        <w:gridCol w:w="1704"/>
        <w:gridCol w:w="1704"/>
        <w:gridCol w:w="1704"/>
      </w:tblGrid>
      <w:tr>
        <w:tc>
          <w:tcPr>
            <w:tcW w:type="dxa" w:w="2304"/>
            <w:shd w:val="clear" w:color="auto" w:fill="A4232C"/>
            <w:tcBorders>
              <w:top w:val="single" w:sz="4" w:color="999999"/>
              <w:left w:val="single" w:sz="4" w:color="999999"/>
              <w:bottom w:val="single" w:sz="4" w:color="999999"/>
              <w:right w:val="single" w:sz="4" w:color="999999"/>
            </w:tcBorders>
          </w:tcPr>
          <w:p>
            <w:r/>
            <w:r>
              <w:rPr>
                <w:b/>
                <w:color w:val="FFFFFF"/>
                <w:sz w:val="20"/>
              </w:rPr>
              <w:t>Criterion</w:t>
            </w:r>
          </w:p>
        </w:tc>
        <w:tc>
          <w:tcPr>
            <w:tcW w:type="dxa" w:w="792"/>
            <w:shd w:val="clear" w:color="auto" w:fill="A4232C"/>
            <w:tcBorders>
              <w:top w:val="single" w:sz="4" w:color="999999"/>
              <w:left w:val="single" w:sz="4" w:color="999999"/>
              <w:bottom w:val="single" w:sz="4" w:color="999999"/>
              <w:right w:val="single" w:sz="4" w:color="999999"/>
            </w:tcBorders>
          </w:tcPr>
          <w:p>
            <w:r/>
            <w:r>
              <w:rPr>
                <w:b/>
                <w:color w:val="FFFFFF"/>
                <w:sz w:val="20"/>
              </w:rPr>
              <w:t>Pts</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Exemplary</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Proficient</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Developing</w:t>
            </w:r>
          </w:p>
        </w:tc>
        <w:tc>
          <w:tcPr>
            <w:tcW w:type="dxa" w:w="1800"/>
            <w:shd w:val="clear" w:color="auto" w:fill="A4232C"/>
            <w:tcBorders>
              <w:top w:val="single" w:sz="4" w:color="999999"/>
              <w:left w:val="single" w:sz="4" w:color="999999"/>
              <w:bottom w:val="single" w:sz="4" w:color="999999"/>
              <w:right w:val="single" w:sz="4" w:color="999999"/>
            </w:tcBorders>
          </w:tcPr>
          <w:p>
            <w:pPr>
              <w:jc w:val="center"/>
            </w:pPr>
            <w:r>
              <w:rPr>
                <w:b/>
                <w:color w:val="FFFFFF"/>
                <w:sz w:val="20"/>
              </w:rPr>
              <w:t>Not Yet</w:t>
            </w:r>
          </w:p>
        </w:tc>
      </w:tr>
      <w:tr>
        <w:tc>
          <w:tcPr>
            <w:tcW w:type="dxa" w:w="2304"/>
            <w:tcBorders>
              <w:top w:val="single" w:sz="4" w:color="999999"/>
              <w:left w:val="single" w:sz="4" w:color="999999"/>
              <w:bottom w:val="single" w:sz="4" w:color="999999"/>
              <w:right w:val="single" w:sz="4" w:color="999999"/>
            </w:tcBorders>
          </w:tcPr>
          <w:p>
            <w:r>
              <w:rPr>
                <w:b/>
                <w:sz w:val="20"/>
              </w:rPr>
              <w:t>Facts &amp; Stakeholders (incl. Mason as stakeholder)</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Restates facts and names Mason as a stakeholder in his own right; identifies the BCaBA, parent, agency, school as stakeholders.</w:t>
            </w:r>
          </w:p>
        </w:tc>
        <w:tc>
          <w:tcPr>
            <w:tcW w:type="dxa" w:w="1800"/>
            <w:tcBorders>
              <w:top w:val="single" w:sz="4" w:color="999999"/>
              <w:left w:val="single" w:sz="4" w:color="999999"/>
              <w:bottom w:val="single" w:sz="4" w:color="999999"/>
              <w:right w:val="single" w:sz="4" w:color="999999"/>
            </w:tcBorders>
          </w:tcPr>
          <w:p>
            <w:r>
              <w:rPr>
                <w:sz w:val="19"/>
              </w:rPr>
              <w:t>Restates facts; names Mason and primary stakeholders.</w:t>
            </w:r>
          </w:p>
        </w:tc>
        <w:tc>
          <w:tcPr>
            <w:tcW w:type="dxa" w:w="1800"/>
            <w:tcBorders>
              <w:top w:val="single" w:sz="4" w:color="999999"/>
              <w:left w:val="single" w:sz="4" w:color="999999"/>
              <w:bottom w:val="single" w:sz="4" w:color="999999"/>
              <w:right w:val="single" w:sz="4" w:color="999999"/>
            </w:tcBorders>
          </w:tcPr>
          <w:p>
            <w:r>
              <w:rPr>
                <w:sz w:val="19"/>
              </w:rPr>
              <w:t>Restates facts; misses Mason-as-stakeholder OR another major party.</w:t>
            </w:r>
          </w:p>
        </w:tc>
        <w:tc>
          <w:tcPr>
            <w:tcW w:type="dxa" w:w="1800"/>
            <w:tcBorders>
              <w:top w:val="single" w:sz="4" w:color="999999"/>
              <w:left w:val="single" w:sz="4" w:color="999999"/>
              <w:bottom w:val="single" w:sz="4" w:color="999999"/>
              <w:right w:val="single" w:sz="4" w:color="999999"/>
            </w:tcBorders>
          </w:tcPr>
          <w:p>
            <w:r>
              <w:rPr>
                <w:sz w:val="19"/>
              </w:rPr>
              <w:t>Facts or stakeholders incomplete.</w:t>
            </w:r>
          </w:p>
        </w:tc>
      </w:tr>
      <w:tr>
        <w:tc>
          <w:tcPr>
            <w:tcW w:type="dxa" w:w="2304"/>
            <w:tcBorders>
              <w:top w:val="single" w:sz="4" w:color="999999"/>
              <w:left w:val="single" w:sz="4" w:color="999999"/>
              <w:bottom w:val="single" w:sz="4" w:color="999999"/>
              <w:right w:val="single" w:sz="4" w:color="999999"/>
            </w:tcBorders>
          </w:tcPr>
          <w:p>
            <w:r>
              <w:rPr>
                <w:b/>
                <w:sz w:val="20"/>
              </w:rPr>
              <w:t>Code Citations (6 required + additional)</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Cites all 6 required codes (2.01, 2.09, 2.14, 3.04, 3.07, 3.10) accurately plus 2+ additional.</w:t>
            </w:r>
          </w:p>
        </w:tc>
        <w:tc>
          <w:tcPr>
            <w:tcW w:type="dxa" w:w="1800"/>
            <w:tcBorders>
              <w:top w:val="single" w:sz="4" w:color="999999"/>
              <w:left w:val="single" w:sz="4" w:color="999999"/>
              <w:bottom w:val="single" w:sz="4" w:color="999999"/>
              <w:right w:val="single" w:sz="4" w:color="999999"/>
            </w:tcBorders>
          </w:tcPr>
          <w:p>
            <w:r>
              <w:rPr>
                <w:sz w:val="19"/>
              </w:rPr>
              <w:t>Cites all 6 required codes accurately.</w:t>
            </w:r>
          </w:p>
        </w:tc>
        <w:tc>
          <w:tcPr>
            <w:tcW w:type="dxa" w:w="1800"/>
            <w:tcBorders>
              <w:top w:val="single" w:sz="4" w:color="999999"/>
              <w:left w:val="single" w:sz="4" w:color="999999"/>
              <w:bottom w:val="single" w:sz="4" w:color="999999"/>
              <w:right w:val="single" w:sz="4" w:color="999999"/>
            </w:tcBorders>
          </w:tcPr>
          <w:p>
            <w:r>
              <w:rPr>
                <w:sz w:val="19"/>
              </w:rPr>
              <w:t>Cites 4–5 required codes; some inaccuracy.</w:t>
            </w:r>
          </w:p>
        </w:tc>
        <w:tc>
          <w:tcPr>
            <w:tcW w:type="dxa" w:w="1800"/>
            <w:tcBorders>
              <w:top w:val="single" w:sz="4" w:color="999999"/>
              <w:left w:val="single" w:sz="4" w:color="999999"/>
              <w:bottom w:val="single" w:sz="4" w:color="999999"/>
              <w:right w:val="single" w:sz="4" w:color="999999"/>
            </w:tcBorders>
          </w:tcPr>
          <w:p>
            <w:r>
              <w:rPr>
                <w:sz w:val="19"/>
              </w:rPr>
              <w:t>Fewer than 4 codes cited.</w:t>
            </w:r>
          </w:p>
        </w:tc>
      </w:tr>
      <w:tr>
        <w:tc>
          <w:tcPr>
            <w:tcW w:type="dxa" w:w="2304"/>
            <w:tcBorders>
              <w:top w:val="single" w:sz="4" w:color="999999"/>
              <w:left w:val="single" w:sz="4" w:color="999999"/>
              <w:bottom w:val="single" w:sz="4" w:color="999999"/>
              <w:right w:val="single" w:sz="4" w:color="999999"/>
            </w:tcBorders>
          </w:tcPr>
          <w:p>
            <w:r>
              <w:rPr>
                <w:b/>
                <w:sz w:val="20"/>
              </w:rPr>
              <w:t>Core Principles (Benefit Others + Autonomy)</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Names Benefit Others &amp; Respect Autonomy and explains how each lands on Mason's request.</w:t>
            </w:r>
          </w:p>
        </w:tc>
        <w:tc>
          <w:tcPr>
            <w:tcW w:type="dxa" w:w="1800"/>
            <w:tcBorders>
              <w:top w:val="single" w:sz="4" w:color="999999"/>
              <w:left w:val="single" w:sz="4" w:color="999999"/>
              <w:bottom w:val="single" w:sz="4" w:color="999999"/>
              <w:right w:val="single" w:sz="4" w:color="999999"/>
            </w:tcBorders>
          </w:tcPr>
          <w:p>
            <w:r>
              <w:rPr>
                <w:sz w:val="19"/>
              </w:rPr>
              <w:t>Names both Principles with brief explanation.</w:t>
            </w:r>
          </w:p>
        </w:tc>
        <w:tc>
          <w:tcPr>
            <w:tcW w:type="dxa" w:w="1800"/>
            <w:tcBorders>
              <w:top w:val="single" w:sz="4" w:color="999999"/>
              <w:left w:val="single" w:sz="4" w:color="999999"/>
              <w:bottom w:val="single" w:sz="4" w:color="999999"/>
              <w:right w:val="single" w:sz="4" w:color="999999"/>
            </w:tcBorders>
          </w:tcPr>
          <w:p>
            <w:r>
              <w:rPr>
                <w:sz w:val="19"/>
              </w:rPr>
              <w:t>Names one Principle clearly.</w:t>
            </w:r>
          </w:p>
        </w:tc>
        <w:tc>
          <w:tcPr>
            <w:tcW w:type="dxa" w:w="1800"/>
            <w:tcBorders>
              <w:top w:val="single" w:sz="4" w:color="999999"/>
              <w:left w:val="single" w:sz="4" w:color="999999"/>
              <w:bottom w:val="single" w:sz="4" w:color="999999"/>
              <w:right w:val="single" w:sz="4" w:color="999999"/>
            </w:tcBorders>
          </w:tcPr>
          <w:p>
            <w:r>
              <w:rPr>
                <w:sz w:val="19"/>
              </w:rPr>
              <w:t>Principles missing.</w:t>
            </w:r>
          </w:p>
        </w:tc>
      </w:tr>
      <w:tr>
        <w:tc>
          <w:tcPr>
            <w:tcW w:type="dxa" w:w="2304"/>
            <w:tcBorders>
              <w:top w:val="single" w:sz="4" w:color="999999"/>
              <w:left w:val="single" w:sz="4" w:color="999999"/>
              <w:bottom w:val="single" w:sz="4" w:color="999999"/>
              <w:right w:val="single" w:sz="4" w:color="999999"/>
            </w:tcBorders>
          </w:tcPr>
          <w:p>
            <w:r>
              <w:rPr>
                <w:b/>
                <w:sz w:val="20"/>
              </w:rPr>
              <w:t>Courses of Action (one centers Mason's request)</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3+ courses; at least one takes Mason's request seriously as the primary signal; consequences clear.</w:t>
            </w:r>
          </w:p>
        </w:tc>
        <w:tc>
          <w:tcPr>
            <w:tcW w:type="dxa" w:w="1800"/>
            <w:tcBorders>
              <w:top w:val="single" w:sz="4" w:color="999999"/>
              <w:left w:val="single" w:sz="4" w:color="999999"/>
              <w:bottom w:val="single" w:sz="4" w:color="999999"/>
              <w:right w:val="single" w:sz="4" w:color="999999"/>
            </w:tcBorders>
          </w:tcPr>
          <w:p>
            <w:r>
              <w:rPr>
                <w:sz w:val="19"/>
              </w:rPr>
              <w:t>3 courses with one centering Mason; consequences noted.</w:t>
            </w:r>
          </w:p>
        </w:tc>
        <w:tc>
          <w:tcPr>
            <w:tcW w:type="dxa" w:w="1800"/>
            <w:tcBorders>
              <w:top w:val="single" w:sz="4" w:color="999999"/>
              <w:left w:val="single" w:sz="4" w:color="999999"/>
              <w:bottom w:val="single" w:sz="4" w:color="999999"/>
              <w:right w:val="single" w:sz="4" w:color="999999"/>
            </w:tcBorders>
          </w:tcPr>
          <w:p>
            <w:r>
              <w:rPr>
                <w:sz w:val="19"/>
              </w:rPr>
              <w:t>3 courses but none center Mason, OR &lt;3 courses.</w:t>
            </w:r>
          </w:p>
        </w:tc>
        <w:tc>
          <w:tcPr>
            <w:tcW w:type="dxa" w:w="1800"/>
            <w:tcBorders>
              <w:top w:val="single" w:sz="4" w:color="999999"/>
              <w:left w:val="single" w:sz="4" w:color="999999"/>
              <w:bottom w:val="single" w:sz="4" w:color="999999"/>
              <w:right w:val="single" w:sz="4" w:color="999999"/>
            </w:tcBorders>
          </w:tcPr>
          <w:p>
            <w:r>
              <w:rPr>
                <w:sz w:val="19"/>
              </w:rPr>
              <w:t>&lt;2 courses, or Mason's request not engaged.</w:t>
            </w:r>
          </w:p>
        </w:tc>
      </w:tr>
      <w:tr>
        <w:tc>
          <w:tcPr>
            <w:tcW w:type="dxa" w:w="2304"/>
            <w:tcBorders>
              <w:top w:val="single" w:sz="4" w:color="999999"/>
              <w:left w:val="single" w:sz="4" w:color="999999"/>
              <w:bottom w:val="single" w:sz="4" w:color="999999"/>
              <w:right w:val="single" w:sz="4" w:color="999999"/>
            </w:tcBorders>
          </w:tcPr>
          <w:p>
            <w:r>
              <w:rPr>
                <w:b/>
                <w:sz w:val="20"/>
              </w:rPr>
              <w:t>Selected Action &amp; Rationale</w:t>
            </w:r>
          </w:p>
        </w:tc>
        <w:tc>
          <w:tcPr>
            <w:tcW w:type="dxa" w:w="792"/>
            <w:tcBorders>
              <w:top w:val="single" w:sz="4" w:color="999999"/>
              <w:left w:val="single" w:sz="4" w:color="999999"/>
              <w:bottom w:val="single" w:sz="4" w:color="999999"/>
              <w:right w:val="single" w:sz="4" w:color="999999"/>
            </w:tcBorders>
          </w:tcPr>
          <w:p>
            <w:pPr>
              <w:jc w:val="center"/>
            </w:pPr>
            <w:r>
              <w:rPr>
                <w:b/>
                <w:sz w:val="20"/>
              </w:rPr>
              <w:t>1.0</w:t>
            </w:r>
          </w:p>
        </w:tc>
        <w:tc>
          <w:tcPr>
            <w:tcW w:type="dxa" w:w="1800"/>
            <w:tcBorders>
              <w:top w:val="single" w:sz="4" w:color="999999"/>
              <w:left w:val="single" w:sz="4" w:color="999999"/>
              <w:bottom w:val="single" w:sz="4" w:color="999999"/>
              <w:right w:val="single" w:sz="4" w:color="999999"/>
            </w:tcBorders>
          </w:tcPr>
          <w:p>
            <w:r>
              <w:rPr>
                <w:sz w:val="19"/>
              </w:rPr>
              <w:t>Action chosen with rationale grounded in Code, Principles, and the autistic self-advocacy frame from the readings.</w:t>
            </w:r>
          </w:p>
        </w:tc>
        <w:tc>
          <w:tcPr>
            <w:tcW w:type="dxa" w:w="1800"/>
            <w:tcBorders>
              <w:top w:val="single" w:sz="4" w:color="999999"/>
              <w:left w:val="single" w:sz="4" w:color="999999"/>
              <w:bottom w:val="single" w:sz="4" w:color="999999"/>
              <w:right w:val="single" w:sz="4" w:color="999999"/>
            </w:tcBorders>
          </w:tcPr>
          <w:p>
            <w:r>
              <w:rPr>
                <w:sz w:val="19"/>
              </w:rPr>
              <w:t>Action chosen with Code &amp; Principles rationale.</w:t>
            </w:r>
          </w:p>
        </w:tc>
        <w:tc>
          <w:tcPr>
            <w:tcW w:type="dxa" w:w="1800"/>
            <w:tcBorders>
              <w:top w:val="single" w:sz="4" w:color="999999"/>
              <w:left w:val="single" w:sz="4" w:color="999999"/>
              <w:bottom w:val="single" w:sz="4" w:color="999999"/>
              <w:right w:val="single" w:sz="4" w:color="999999"/>
            </w:tcBorders>
          </w:tcPr>
          <w:p>
            <w:r>
              <w:rPr>
                <w:sz w:val="19"/>
              </w:rPr>
              <w:t>Action chosen but rationale generic.</w:t>
            </w:r>
          </w:p>
        </w:tc>
        <w:tc>
          <w:tcPr>
            <w:tcW w:type="dxa" w:w="1800"/>
            <w:tcBorders>
              <w:top w:val="single" w:sz="4" w:color="999999"/>
              <w:left w:val="single" w:sz="4" w:color="999999"/>
              <w:bottom w:val="single" w:sz="4" w:color="999999"/>
              <w:right w:val="single" w:sz="4" w:color="999999"/>
            </w:tcBorders>
          </w:tcPr>
          <w:p>
            <w:r>
              <w:rPr>
                <w:sz w:val="19"/>
              </w:rPr>
              <w:t>Action unclear; no rationale.</w:t>
            </w:r>
          </w:p>
        </w:tc>
      </w:tr>
      <w:tr>
        <w:tc>
          <w:tcPr>
            <w:tcW w:type="dxa" w:w="2304"/>
            <w:tcBorders>
              <w:top w:val="single" w:sz="4" w:color="999999"/>
              <w:left w:val="single" w:sz="4" w:color="999999"/>
              <w:bottom w:val="single" w:sz="4" w:color="999999"/>
              <w:right w:val="single" w:sz="4" w:color="999999"/>
            </w:tcBorders>
          </w:tcPr>
          <w:p>
            <w:r>
              <w:rPr>
                <w:b/>
                <w:sz w:val="20"/>
              </w:rPr>
              <w:t>Supervision Reflection (Codes 4.05 &amp; 2.16)</w:t>
            </w:r>
          </w:p>
        </w:tc>
        <w:tc>
          <w:tcPr>
            <w:tcW w:type="dxa" w:w="792"/>
            <w:tcBorders>
              <w:top w:val="single" w:sz="4" w:color="999999"/>
              <w:left w:val="single" w:sz="4" w:color="999999"/>
              <w:bottom w:val="single" w:sz="4" w:color="999999"/>
              <w:right w:val="single" w:sz="4" w:color="999999"/>
            </w:tcBorders>
          </w:tcPr>
          <w:p>
            <w:pPr>
              <w:jc w:val="center"/>
            </w:pPr>
            <w:r>
              <w:rPr>
                <w:b/>
                <w:sz w:val="20"/>
              </w:rPr>
              <w:t>0.5</w:t>
            </w:r>
          </w:p>
        </w:tc>
        <w:tc>
          <w:tcPr>
            <w:tcW w:type="dxa" w:w="1800"/>
            <w:tcBorders>
              <w:top w:val="single" w:sz="4" w:color="999999"/>
              <w:left w:val="single" w:sz="4" w:color="999999"/>
              <w:bottom w:val="single" w:sz="4" w:color="999999"/>
              <w:right w:val="single" w:sz="4" w:color="999999"/>
            </w:tcBorders>
          </w:tcPr>
          <w:p>
            <w:r>
              <w:rPr>
                <w:sz w:val="19"/>
              </w:rPr>
              <w:t>Specific, supervisor-stance response to BCaBA's request, citing 4.05 &amp; 2.16 accurately.</w:t>
            </w:r>
          </w:p>
        </w:tc>
        <w:tc>
          <w:tcPr>
            <w:tcW w:type="dxa" w:w="1800"/>
            <w:tcBorders>
              <w:top w:val="single" w:sz="4" w:color="999999"/>
              <w:left w:val="single" w:sz="4" w:color="999999"/>
              <w:bottom w:val="single" w:sz="4" w:color="999999"/>
              <w:right w:val="single" w:sz="4" w:color="999999"/>
            </w:tcBorders>
          </w:tcPr>
          <w:p>
            <w:r>
              <w:rPr>
                <w:sz w:val="19"/>
              </w:rPr>
              <w:t>Brief supervisor response with one of the two codes cited.</w:t>
            </w:r>
          </w:p>
        </w:tc>
        <w:tc>
          <w:tcPr>
            <w:tcW w:type="dxa" w:w="1800"/>
            <w:tcBorders>
              <w:top w:val="single" w:sz="4" w:color="999999"/>
              <w:left w:val="single" w:sz="4" w:color="999999"/>
              <w:bottom w:val="single" w:sz="4" w:color="999999"/>
              <w:right w:val="single" w:sz="4" w:color="999999"/>
            </w:tcBorders>
          </w:tcPr>
          <w:p>
            <w:r>
              <w:rPr>
                <w:sz w:val="19"/>
              </w:rPr>
              <w:t>Generic response without code tie.</w:t>
            </w:r>
          </w:p>
        </w:tc>
        <w:tc>
          <w:tcPr>
            <w:tcW w:type="dxa" w:w="1800"/>
            <w:tcBorders>
              <w:top w:val="single" w:sz="4" w:color="999999"/>
              <w:left w:val="single" w:sz="4" w:color="999999"/>
              <w:bottom w:val="single" w:sz="4" w:color="999999"/>
              <w:right w:val="single" w:sz="4" w:color="999999"/>
            </w:tcBorders>
          </w:tcPr>
          <w:p>
            <w:r>
              <w:rPr>
                <w:sz w:val="19"/>
              </w:rPr>
              <w:t>No reflection on supervision angle.</w:t>
            </w:r>
          </w:p>
        </w:tc>
      </w:tr>
      <w:tr>
        <w:tc>
          <w:tcPr>
            <w:tcW w:type="dxa" w:w="2304"/>
            <w:shd w:val="clear" w:color="auto" w:fill="F2EAEB"/>
            <w:tcBorders>
              <w:top w:val="single" w:sz="4" w:color="999999"/>
              <w:left w:val="single" w:sz="4" w:color="999999"/>
              <w:bottom w:val="single" w:sz="4" w:color="999999"/>
              <w:right w:val="single" w:sz="4" w:color="999999"/>
            </w:tcBorders>
          </w:tcPr>
          <w:p>
            <w:pPr>
              <w:jc w:val="right"/>
            </w:pPr>
            <w:r>
              <w:rPr>
                <w:b/>
                <w:sz w:val="20"/>
              </w:rPr>
              <w:t>TOTAL</w:t>
            </w:r>
          </w:p>
        </w:tc>
        <w:tc>
          <w:tcPr>
            <w:tcW w:type="dxa" w:w="792"/>
            <w:shd w:val="clear" w:color="auto" w:fill="F2EAEB"/>
            <w:tcBorders>
              <w:top w:val="single" w:sz="4" w:color="999999"/>
              <w:left w:val="single" w:sz="4" w:color="999999"/>
              <w:bottom w:val="single" w:sz="4" w:color="999999"/>
              <w:right w:val="single" w:sz="4" w:color="999999"/>
            </w:tcBorders>
          </w:tcPr>
          <w:p>
            <w:pPr>
              <w:jc w:val="center"/>
            </w:pPr>
            <w:r>
              <w:rPr>
                <w:b/>
                <w:sz w:val="20"/>
              </w:rPr>
              <w:t>5.0</w:t>
            </w: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c>
          <w:tcPr>
            <w:tcW w:type="dxa" w:w="1800"/>
            <w:tcBorders>
              <w:top w:val="single" w:sz="4" w:color="999999"/>
              <w:left w:val="single" w:sz="4" w:color="999999"/>
              <w:bottom w:val="single" w:sz="4" w:color="999999"/>
              <w:right w:val="single" w:sz="4" w:color="999999"/>
            </w:tcBorders>
          </w:tcPr>
          <w:p/>
        </w:tc>
      </w:tr>
    </w:tbl>
    <w:p>
      <w:pPr>
        <w:spacing w:before="280" w:after="80"/>
      </w:pPr>
      <w:r>
        <w:rPr>
          <w:rFonts w:ascii="Calibri" w:hAnsi="Calibri"/>
          <w:b/>
          <w:color w:val="A4232C"/>
          <w:sz w:val="20"/>
        </w:rPr>
        <w:t>HOW POINTS ARE AWARDED</w:t>
      </w:r>
    </w:p>
    <w:p>
      <w:pPr>
        <w:spacing w:after="120"/>
      </w:pPr>
      <w:r>
        <w:rPr>
          <w:rFonts w:ascii="Calibri" w:hAnsi="Calibri"/>
          <w:i/>
          <w:sz w:val="20"/>
        </w:rPr>
        <w:t>Exemplary = full points for that criterion. Proficient = 75% of points. Developing = 50% of points. Not Yet = 0–25% of points. Rounded to nearest 0.25.</w:t>
      </w:r>
    </w:p>
    <w:p>
      <w:pPr>
        <w:spacing w:before="360"/>
        <w:jc w:val="center"/>
      </w:pPr>
      <w:r>
        <w:rPr>
          <w:i/>
          <w:color w:val="6B6B6B"/>
          <w:sz w:val="16"/>
        </w:rPr>
        <w:t>ECPSE 729 · Ethics &amp; Professionalism in Applied Behavior Analysis  ·  Summer 2026  ·  Dr. Lenwood Gibson · Queens College, CUNY  ·  Module 02 · Week 02 · Section 2.0</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