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A4232C"/>
          <w:sz w:val="18"/>
        </w:rPr>
        <w:t>DECISION-MAKING LAB 3  ·  GRADING RUBRIC  ·  5 POINTS</w:t>
      </w:r>
    </w:p>
    <w:p>
      <w:pPr>
        <w:spacing w:before="40" w:after="40"/>
      </w:pPr>
      <w:r>
        <w:rPr>
          <w:rFonts w:ascii="Calibri" w:hAnsi="Calibri"/>
          <w:b/>
          <w:sz w:val="40"/>
        </w:rPr>
        <w:t>Decision-Making Lab 3 — Supervision &amp; Digital Practice</w:t>
      </w:r>
    </w:p>
    <w:p>
      <w:pPr>
        <w:spacing w:after="240"/>
      </w:pPr>
      <w:r>
        <w:rPr>
          <w:i/>
          <w:color w:val="6B6B6B"/>
          <w:sz w:val="20"/>
        </w:rPr>
        <w:t>Module 03 · Week 03 · Sections 3.0 + 4.0</w:t>
      </w:r>
    </w:p>
    <w:p>
      <w:pPr>
        <w:spacing w:before="280" w:after="80"/>
      </w:pPr>
      <w:r>
        <w:rPr>
          <w:rFonts w:ascii="Calibri" w:hAnsi="Calibri"/>
          <w:b/>
          <w:color w:val="A4232C"/>
          <w:sz w:val="20"/>
        </w:rPr>
        <w:t>THE SCENARIO</w:t>
      </w:r>
    </w:p>
    <w:p>
      <w:pPr>
        <w:spacing w:before="120" w:after="240"/>
        <w:ind w:left="360" w:right="360"/>
        <w:pBdr>
          <w:left w:val="single" w:sz="18" w:space="8" w:color="A4232C"/>
        </w:pBdr>
      </w:pPr>
      <w:r>
        <w:rPr>
          <w:rFonts w:ascii="Calibri" w:hAnsi="Calibri"/>
          <w:i/>
          <w:sz w:val="21"/>
        </w:rPr>
        <w:t>Maya, a BCaBA you supervise, has built a TikTok account titled @ABAwins with 4,800 followers. Posts are 30-second "before/after" clips with autistic clients. Faces are blurred but voices, settings, and parent-mentioned details are present. She tells you she runs the account on her own time, that "ABA needs better PR," and that the account is helping autistic creators "see what's possible." When you review her recent session notes, you find several were clearly drafted by ChatGPT — phrasing identical to AI output, including a hallucinated reference to a non-existent reinforcement schedule. The clinic's social media policy is two paragraphs written in 2019 and doesn't mention AI or short-form video. The clinic director — your boss — has been resharing Maya's TikToks on the clinic's official account. Yesterday, a parent of one of Maya's clients emailed you asking why their child appears in a video they don't remember signing a release for.</w:t>
      </w:r>
    </w:p>
    <w:p>
      <w:pPr>
        <w:spacing w:before="280" w:after="80"/>
      </w:pPr>
      <w:r>
        <w:rPr>
          <w:rFonts w:ascii="Calibri" w:hAnsi="Calibri"/>
          <w:b/>
          <w:color w:val="A4232C"/>
          <w:sz w:val="20"/>
        </w:rPr>
        <w:t>YOUR VIDEO MUST ADDRESS</w:t>
      </w:r>
    </w:p>
    <w:p>
      <w:pPr>
        <w:pStyle w:val="ListNumber"/>
        <w:spacing w:after="40"/>
      </w:pPr>
      <w:r>
        <w:rPr>
          <w:sz w:val="21"/>
        </w:rPr>
        <w:t>A restatement of the facts and a list of all relevant stakeholders — including the clients in Maya's videos, who didn't choose to be there.</w:t>
      </w:r>
    </w:p>
    <w:p>
      <w:pPr>
        <w:pStyle w:val="ListNumber"/>
        <w:spacing w:after="40"/>
      </w:pPr>
      <w:r>
        <w:rPr>
          <w:sz w:val="21"/>
        </w:rPr>
        <w:t>The relevant Code citations — at minimum 4.01 (Supervision Compliance), 4.10 (Continuity of Supervision), 5.02 (Confidentiality in Public Statements), 5.03 (Public Statements by Behavior Analysts), 5.04 (Public Statements by Others), 5.06 (Advertising Nonbehavioral Services), 2.03/2.04 (Confidentiality), and 3.04 (Service Agreement). Identify others that apply, especially around AI disclosure.</w:t>
      </w:r>
    </w:p>
    <w:p>
      <w:pPr>
        <w:pStyle w:val="ListNumber"/>
        <w:spacing w:after="40"/>
      </w:pPr>
      <w:r>
        <w:rPr>
          <w:sz w:val="21"/>
        </w:rPr>
        <w:t>Identification of the relevant Core Principles — paying particular attention to Maintain Competence and Behave with Integrity.</w:t>
      </w:r>
    </w:p>
    <w:p>
      <w:pPr>
        <w:pStyle w:val="ListNumber"/>
        <w:spacing w:after="40"/>
      </w:pPr>
      <w:r>
        <w:rPr>
          <w:sz w:val="21"/>
        </w:rPr>
        <w:t>At least three considered courses of action with anticipated consequences for each. One must address the upward dimension — your boss reposting Maya's content — not just Maya herself.</w:t>
      </w:r>
    </w:p>
    <w:p>
      <w:pPr>
        <w:pStyle w:val="ListNumber"/>
        <w:spacing w:after="40"/>
      </w:pPr>
      <w:r>
        <w:rPr>
          <w:sz w:val="21"/>
        </w:rPr>
        <w:t>Your selected action and a clear rationale grounded in the Code, the Core Principles, and the supervision/social-media literature from this week.</w:t>
      </w:r>
    </w:p>
    <w:p>
      <w:pPr>
        <w:pStyle w:val="ListNumber"/>
        <w:spacing w:after="40"/>
      </w:pPr>
      <w:r>
        <w:rPr>
          <w:sz w:val="21"/>
        </w:rPr>
        <w:t>A brief reflection on how you'd handle the AI-drafted session notes specifically — and whether your answer would change if Maya had disclosed the AI use upfront.</w:t>
      </w:r>
    </w:p>
    <w:p>
      <w:pPr>
        <w:spacing w:before="280" w:after="80"/>
      </w:pPr>
      <w:r>
        <w:rPr>
          <w:rFonts w:ascii="Calibri" w:hAnsi="Calibri"/>
          <w:b/>
          <w:color w:val="A4232C"/>
          <w:sz w:val="20"/>
        </w:rPr>
        <w:t>FORMAT</w:t>
      </w:r>
    </w:p>
    <w:p>
      <w:pPr>
        <w:spacing w:after="120"/>
      </w:pPr>
      <w:r>
        <w:rPr>
          <w:rFonts w:ascii="Calibri" w:hAnsi="Calibri"/>
          <w:sz w:val="21"/>
        </w:rPr>
        <w:t>5–7 minute Brightspace Discussion Video, recorded directly in the Brightspace discussion thread. Cite Code sections by number as you discuss them — verbal citations are fine. Visual aids (e.g., a slide showing key Code citations) are welcome but not required.</w:t>
      </w:r>
    </w:p>
    <w:p>
      <w:pPr>
        <w:spacing w:before="280" w:after="80"/>
      </w:pPr>
      <w:r>
        <w:rPr>
          <w:rFonts w:ascii="Calibri" w:hAnsi="Calibri"/>
          <w:b/>
          <w:color w:val="A4232C"/>
          <w:sz w:val="20"/>
        </w:rPr>
        <w:t>GRADING RUBRIC</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304"/>
            <w:shd w:val="clear" w:color="auto" w:fill="A4232C"/>
            <w:tcBorders>
              <w:top w:val="single" w:sz="4" w:color="999999"/>
              <w:left w:val="single" w:sz="4" w:color="999999"/>
              <w:bottom w:val="single" w:sz="4" w:color="999999"/>
              <w:right w:val="single" w:sz="4" w:color="999999"/>
            </w:tcBorders>
          </w:tcPr>
          <w:p>
            <w:r/>
            <w:r>
              <w:rPr>
                <w:b/>
                <w:color w:val="FFFFFF"/>
                <w:sz w:val="20"/>
              </w:rPr>
              <w:t>Criterion</w:t>
            </w:r>
          </w:p>
        </w:tc>
        <w:tc>
          <w:tcPr>
            <w:tcW w:type="dxa" w:w="792"/>
            <w:shd w:val="clear" w:color="auto" w:fill="A4232C"/>
            <w:tcBorders>
              <w:top w:val="single" w:sz="4" w:color="999999"/>
              <w:left w:val="single" w:sz="4" w:color="999999"/>
              <w:bottom w:val="single" w:sz="4" w:color="999999"/>
              <w:right w:val="single" w:sz="4" w:color="999999"/>
            </w:tcBorders>
          </w:tcPr>
          <w:p>
            <w:r/>
            <w:r>
              <w:rPr>
                <w:b/>
                <w:color w:val="FFFFFF"/>
                <w:sz w:val="20"/>
              </w:rPr>
              <w:t>Pts</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Exemplary</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Proficient</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Developing</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Not Yet</w:t>
            </w:r>
          </w:p>
        </w:tc>
      </w:tr>
      <w:tr>
        <w:tc>
          <w:tcPr>
            <w:tcW w:type="dxa" w:w="2304"/>
            <w:tcBorders>
              <w:top w:val="single" w:sz="4" w:color="999999"/>
              <w:left w:val="single" w:sz="4" w:color="999999"/>
              <w:bottom w:val="single" w:sz="4" w:color="999999"/>
              <w:right w:val="single" w:sz="4" w:color="999999"/>
            </w:tcBorders>
          </w:tcPr>
          <w:p>
            <w:r>
              <w:rPr>
                <w:b/>
                <w:sz w:val="20"/>
              </w:rPr>
              <w:t>Facts &amp; Stakeholders (incl. clients in videos)</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Names all stakeholders including the clients featured in Maya's videos who did not choose to be there; also the parent who emailed, the director, the supervisee.</w:t>
            </w:r>
          </w:p>
        </w:tc>
        <w:tc>
          <w:tcPr>
            <w:tcW w:type="dxa" w:w="1800"/>
            <w:tcBorders>
              <w:top w:val="single" w:sz="4" w:color="999999"/>
              <w:left w:val="single" w:sz="4" w:color="999999"/>
              <w:bottom w:val="single" w:sz="4" w:color="999999"/>
              <w:right w:val="single" w:sz="4" w:color="999999"/>
            </w:tcBorders>
          </w:tcPr>
          <w:p>
            <w:r>
              <w:rPr>
                <w:sz w:val="19"/>
              </w:rPr>
              <w:t>Names primary stakeholders + clients in videos.</w:t>
            </w:r>
          </w:p>
        </w:tc>
        <w:tc>
          <w:tcPr>
            <w:tcW w:type="dxa" w:w="1800"/>
            <w:tcBorders>
              <w:top w:val="single" w:sz="4" w:color="999999"/>
              <w:left w:val="single" w:sz="4" w:color="999999"/>
              <w:bottom w:val="single" w:sz="4" w:color="999999"/>
              <w:right w:val="single" w:sz="4" w:color="999999"/>
            </w:tcBorders>
          </w:tcPr>
          <w:p>
            <w:r>
              <w:rPr>
                <w:sz w:val="19"/>
              </w:rPr>
              <w:t>Names primary stakeholders; misses clients in videos OR director.</w:t>
            </w:r>
          </w:p>
        </w:tc>
        <w:tc>
          <w:tcPr>
            <w:tcW w:type="dxa" w:w="1800"/>
            <w:tcBorders>
              <w:top w:val="single" w:sz="4" w:color="999999"/>
              <w:left w:val="single" w:sz="4" w:color="999999"/>
              <w:bottom w:val="single" w:sz="4" w:color="999999"/>
              <w:right w:val="single" w:sz="4" w:color="999999"/>
            </w:tcBorders>
          </w:tcPr>
          <w:p>
            <w:r>
              <w:rPr>
                <w:sz w:val="19"/>
              </w:rPr>
              <w:t>Stakeholders incomplete.</w:t>
            </w:r>
          </w:p>
        </w:tc>
      </w:tr>
      <w:tr>
        <w:tc>
          <w:tcPr>
            <w:tcW w:type="dxa" w:w="2304"/>
            <w:tcBorders>
              <w:top w:val="single" w:sz="4" w:color="999999"/>
              <w:left w:val="single" w:sz="4" w:color="999999"/>
              <w:bottom w:val="single" w:sz="4" w:color="999999"/>
              <w:right w:val="single" w:sz="4" w:color="999999"/>
            </w:tcBorders>
          </w:tcPr>
          <w:p>
            <w:r>
              <w:rPr>
                <w:b/>
                <w:sz w:val="20"/>
              </w:rPr>
              <w:t>Code Citations (9 required + AI angle)</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Cites the 9 required codes accurately plus addresses AI disclosure (1.04 / 2.04 / supervision codes); precise quoting.</w:t>
            </w:r>
          </w:p>
        </w:tc>
        <w:tc>
          <w:tcPr>
            <w:tcW w:type="dxa" w:w="1800"/>
            <w:tcBorders>
              <w:top w:val="single" w:sz="4" w:color="999999"/>
              <w:left w:val="single" w:sz="4" w:color="999999"/>
              <w:bottom w:val="single" w:sz="4" w:color="999999"/>
              <w:right w:val="single" w:sz="4" w:color="999999"/>
            </w:tcBorders>
          </w:tcPr>
          <w:p>
            <w:r>
              <w:rPr>
                <w:sz w:val="19"/>
              </w:rPr>
              <w:t>Cites the 9 required codes accurately.</w:t>
            </w:r>
          </w:p>
        </w:tc>
        <w:tc>
          <w:tcPr>
            <w:tcW w:type="dxa" w:w="1800"/>
            <w:tcBorders>
              <w:top w:val="single" w:sz="4" w:color="999999"/>
              <w:left w:val="single" w:sz="4" w:color="999999"/>
              <w:bottom w:val="single" w:sz="4" w:color="999999"/>
              <w:right w:val="single" w:sz="4" w:color="999999"/>
            </w:tcBorders>
          </w:tcPr>
          <w:p>
            <w:r>
              <w:rPr>
                <w:sz w:val="19"/>
              </w:rPr>
              <w:t>Cites 6–8 required codes; AI angle thin.</w:t>
            </w:r>
          </w:p>
        </w:tc>
        <w:tc>
          <w:tcPr>
            <w:tcW w:type="dxa" w:w="1800"/>
            <w:tcBorders>
              <w:top w:val="single" w:sz="4" w:color="999999"/>
              <w:left w:val="single" w:sz="4" w:color="999999"/>
              <w:bottom w:val="single" w:sz="4" w:color="999999"/>
              <w:right w:val="single" w:sz="4" w:color="999999"/>
            </w:tcBorders>
          </w:tcPr>
          <w:p>
            <w:r>
              <w:rPr>
                <w:sz w:val="19"/>
              </w:rPr>
              <w:t>Fewer than 6 codes cited; AI angle absent.</w:t>
            </w:r>
          </w:p>
        </w:tc>
      </w:tr>
      <w:tr>
        <w:tc>
          <w:tcPr>
            <w:tcW w:type="dxa" w:w="2304"/>
            <w:tcBorders>
              <w:top w:val="single" w:sz="4" w:color="999999"/>
              <w:left w:val="single" w:sz="4" w:color="999999"/>
              <w:bottom w:val="single" w:sz="4" w:color="999999"/>
              <w:right w:val="single" w:sz="4" w:color="999999"/>
            </w:tcBorders>
          </w:tcPr>
          <w:p>
            <w:r>
              <w:rPr>
                <w:b/>
                <w:sz w:val="20"/>
              </w:rPr>
              <w:t>Core Principles (Competence + Integrity)</w:t>
            </w:r>
          </w:p>
        </w:tc>
        <w:tc>
          <w:tcPr>
            <w:tcW w:type="dxa" w:w="792"/>
            <w:tcBorders>
              <w:top w:val="single" w:sz="4" w:color="999999"/>
              <w:left w:val="single" w:sz="4" w:color="999999"/>
              <w:bottom w:val="single" w:sz="4" w:color="999999"/>
              <w:right w:val="single" w:sz="4" w:color="999999"/>
            </w:tcBorders>
          </w:tcPr>
          <w:p>
            <w:pPr>
              <w:jc w:val="center"/>
            </w:pPr>
            <w:r>
              <w:rPr>
                <w:b/>
                <w:sz w:val="20"/>
              </w:rPr>
              <w:t>0.5</w:t>
            </w:r>
          </w:p>
        </w:tc>
        <w:tc>
          <w:tcPr>
            <w:tcW w:type="dxa" w:w="1800"/>
            <w:tcBorders>
              <w:top w:val="single" w:sz="4" w:color="999999"/>
              <w:left w:val="single" w:sz="4" w:color="999999"/>
              <w:bottom w:val="single" w:sz="4" w:color="999999"/>
              <w:right w:val="single" w:sz="4" w:color="999999"/>
            </w:tcBorders>
          </w:tcPr>
          <w:p>
            <w:r>
              <w:rPr>
                <w:sz w:val="19"/>
              </w:rPr>
              <w:t>Names Maintain Competence &amp; Behave with Integrity; explains operation in this case for both Maya and your boss.</w:t>
            </w:r>
          </w:p>
        </w:tc>
        <w:tc>
          <w:tcPr>
            <w:tcW w:type="dxa" w:w="1800"/>
            <w:tcBorders>
              <w:top w:val="single" w:sz="4" w:color="999999"/>
              <w:left w:val="single" w:sz="4" w:color="999999"/>
              <w:bottom w:val="single" w:sz="4" w:color="999999"/>
              <w:right w:val="single" w:sz="4" w:color="999999"/>
            </w:tcBorders>
          </w:tcPr>
          <w:p>
            <w:r>
              <w:rPr>
                <w:sz w:val="19"/>
              </w:rPr>
              <w:t>Names both Principles with brief explanation.</w:t>
            </w:r>
          </w:p>
        </w:tc>
        <w:tc>
          <w:tcPr>
            <w:tcW w:type="dxa" w:w="1800"/>
            <w:tcBorders>
              <w:top w:val="single" w:sz="4" w:color="999999"/>
              <w:left w:val="single" w:sz="4" w:color="999999"/>
              <w:bottom w:val="single" w:sz="4" w:color="999999"/>
              <w:right w:val="single" w:sz="4" w:color="999999"/>
            </w:tcBorders>
          </w:tcPr>
          <w:p>
            <w:r>
              <w:rPr>
                <w:sz w:val="19"/>
              </w:rPr>
              <w:t>Names one Principle clearly.</w:t>
            </w:r>
          </w:p>
        </w:tc>
        <w:tc>
          <w:tcPr>
            <w:tcW w:type="dxa" w:w="1800"/>
            <w:tcBorders>
              <w:top w:val="single" w:sz="4" w:color="999999"/>
              <w:left w:val="single" w:sz="4" w:color="999999"/>
              <w:bottom w:val="single" w:sz="4" w:color="999999"/>
              <w:right w:val="single" w:sz="4" w:color="999999"/>
            </w:tcBorders>
          </w:tcPr>
          <w:p>
            <w:r>
              <w:rPr>
                <w:sz w:val="19"/>
              </w:rPr>
              <w:t>Principles missing.</w:t>
            </w:r>
          </w:p>
        </w:tc>
      </w:tr>
      <w:tr>
        <w:tc>
          <w:tcPr>
            <w:tcW w:type="dxa" w:w="2304"/>
            <w:tcBorders>
              <w:top w:val="single" w:sz="4" w:color="999999"/>
              <w:left w:val="single" w:sz="4" w:color="999999"/>
              <w:bottom w:val="single" w:sz="4" w:color="999999"/>
              <w:right w:val="single" w:sz="4" w:color="999999"/>
            </w:tcBorders>
          </w:tcPr>
          <w:p>
            <w:r>
              <w:rPr>
                <w:b/>
                <w:sz w:val="20"/>
              </w:rPr>
              <w:t>Courses of Action (one addresses upward dimension)</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3+ courses; one explicitly addresses the boss reposting Maya's TikToks, not just Maya alone.</w:t>
            </w:r>
          </w:p>
        </w:tc>
        <w:tc>
          <w:tcPr>
            <w:tcW w:type="dxa" w:w="1800"/>
            <w:tcBorders>
              <w:top w:val="single" w:sz="4" w:color="999999"/>
              <w:left w:val="single" w:sz="4" w:color="999999"/>
              <w:bottom w:val="single" w:sz="4" w:color="999999"/>
              <w:right w:val="single" w:sz="4" w:color="999999"/>
            </w:tcBorders>
          </w:tcPr>
          <w:p>
            <w:r>
              <w:rPr>
                <w:sz w:val="19"/>
              </w:rPr>
              <w:t>3 courses; upward angle named.</w:t>
            </w:r>
          </w:p>
        </w:tc>
        <w:tc>
          <w:tcPr>
            <w:tcW w:type="dxa" w:w="1800"/>
            <w:tcBorders>
              <w:top w:val="single" w:sz="4" w:color="999999"/>
              <w:left w:val="single" w:sz="4" w:color="999999"/>
              <w:bottom w:val="single" w:sz="4" w:color="999999"/>
              <w:right w:val="single" w:sz="4" w:color="999999"/>
            </w:tcBorders>
          </w:tcPr>
          <w:p>
            <w:r>
              <w:rPr>
                <w:sz w:val="19"/>
              </w:rPr>
              <w:t>3 courses but only Maya-facing.</w:t>
            </w:r>
          </w:p>
        </w:tc>
        <w:tc>
          <w:tcPr>
            <w:tcW w:type="dxa" w:w="1800"/>
            <w:tcBorders>
              <w:top w:val="single" w:sz="4" w:color="999999"/>
              <w:left w:val="single" w:sz="4" w:color="999999"/>
              <w:bottom w:val="single" w:sz="4" w:color="999999"/>
              <w:right w:val="single" w:sz="4" w:color="999999"/>
            </w:tcBorders>
          </w:tcPr>
          <w:p>
            <w:r>
              <w:rPr>
                <w:sz w:val="19"/>
              </w:rPr>
              <w:t>&lt;2 courses.</w:t>
            </w:r>
          </w:p>
        </w:tc>
      </w:tr>
      <w:tr>
        <w:tc>
          <w:tcPr>
            <w:tcW w:type="dxa" w:w="2304"/>
            <w:tcBorders>
              <w:top w:val="single" w:sz="4" w:color="999999"/>
              <w:left w:val="single" w:sz="4" w:color="999999"/>
              <w:bottom w:val="single" w:sz="4" w:color="999999"/>
              <w:right w:val="single" w:sz="4" w:color="999999"/>
            </w:tcBorders>
          </w:tcPr>
          <w:p>
            <w:r>
              <w:rPr>
                <w:b/>
                <w:sz w:val="20"/>
              </w:rPr>
              <w:t>Selected Action &amp; Rationale</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Action grounded in Code, Principles, and the supervision + social-media literature; honest about power dynamics.</w:t>
            </w:r>
          </w:p>
        </w:tc>
        <w:tc>
          <w:tcPr>
            <w:tcW w:type="dxa" w:w="1800"/>
            <w:tcBorders>
              <w:top w:val="single" w:sz="4" w:color="999999"/>
              <w:left w:val="single" w:sz="4" w:color="999999"/>
              <w:bottom w:val="single" w:sz="4" w:color="999999"/>
              <w:right w:val="single" w:sz="4" w:color="999999"/>
            </w:tcBorders>
          </w:tcPr>
          <w:p>
            <w:r>
              <w:rPr>
                <w:sz w:val="19"/>
              </w:rPr>
              <w:t>Action with Code &amp; Principles rationale.</w:t>
            </w:r>
          </w:p>
        </w:tc>
        <w:tc>
          <w:tcPr>
            <w:tcW w:type="dxa" w:w="1800"/>
            <w:tcBorders>
              <w:top w:val="single" w:sz="4" w:color="999999"/>
              <w:left w:val="single" w:sz="4" w:color="999999"/>
              <w:bottom w:val="single" w:sz="4" w:color="999999"/>
              <w:right w:val="single" w:sz="4" w:color="999999"/>
            </w:tcBorders>
          </w:tcPr>
          <w:p>
            <w:r>
              <w:rPr>
                <w:sz w:val="19"/>
              </w:rPr>
              <w:t>Action chosen but rationale generic.</w:t>
            </w:r>
          </w:p>
        </w:tc>
        <w:tc>
          <w:tcPr>
            <w:tcW w:type="dxa" w:w="1800"/>
            <w:tcBorders>
              <w:top w:val="single" w:sz="4" w:color="999999"/>
              <w:left w:val="single" w:sz="4" w:color="999999"/>
              <w:bottom w:val="single" w:sz="4" w:color="999999"/>
              <w:right w:val="single" w:sz="4" w:color="999999"/>
            </w:tcBorders>
          </w:tcPr>
          <w:p>
            <w:r>
              <w:rPr>
                <w:sz w:val="19"/>
              </w:rPr>
              <w:t>Action unclear.</w:t>
            </w:r>
          </w:p>
        </w:tc>
      </w:tr>
      <w:tr>
        <w:tc>
          <w:tcPr>
            <w:tcW w:type="dxa" w:w="2304"/>
            <w:tcBorders>
              <w:top w:val="single" w:sz="4" w:color="999999"/>
              <w:left w:val="single" w:sz="4" w:color="999999"/>
              <w:bottom w:val="single" w:sz="4" w:color="999999"/>
              <w:right w:val="single" w:sz="4" w:color="999999"/>
            </w:tcBorders>
          </w:tcPr>
          <w:p>
            <w:r>
              <w:rPr>
                <w:b/>
                <w:sz w:val="20"/>
              </w:rPr>
              <w:t>AI-Notes Reflection</w:t>
            </w:r>
          </w:p>
        </w:tc>
        <w:tc>
          <w:tcPr>
            <w:tcW w:type="dxa" w:w="792"/>
            <w:tcBorders>
              <w:top w:val="single" w:sz="4" w:color="999999"/>
              <w:left w:val="single" w:sz="4" w:color="999999"/>
              <w:bottom w:val="single" w:sz="4" w:color="999999"/>
              <w:right w:val="single" w:sz="4" w:color="999999"/>
            </w:tcBorders>
          </w:tcPr>
          <w:p>
            <w:pPr>
              <w:jc w:val="center"/>
            </w:pPr>
            <w:r>
              <w:rPr>
                <w:b/>
                <w:sz w:val="20"/>
              </w:rPr>
              <w:t>0.5</w:t>
            </w:r>
          </w:p>
        </w:tc>
        <w:tc>
          <w:tcPr>
            <w:tcW w:type="dxa" w:w="1800"/>
            <w:tcBorders>
              <w:top w:val="single" w:sz="4" w:color="999999"/>
              <w:left w:val="single" w:sz="4" w:color="999999"/>
              <w:bottom w:val="single" w:sz="4" w:color="999999"/>
              <w:right w:val="single" w:sz="4" w:color="999999"/>
            </w:tcBorders>
          </w:tcPr>
          <w:p>
            <w:r>
              <w:rPr>
                <w:sz w:val="19"/>
              </w:rPr>
              <w:t>Specific stance on AI-drafted notes; explicitly considers how disclosed AI use would change the analysis.</w:t>
            </w:r>
          </w:p>
        </w:tc>
        <w:tc>
          <w:tcPr>
            <w:tcW w:type="dxa" w:w="1800"/>
            <w:tcBorders>
              <w:top w:val="single" w:sz="4" w:color="999999"/>
              <w:left w:val="single" w:sz="4" w:color="999999"/>
              <w:bottom w:val="single" w:sz="4" w:color="999999"/>
              <w:right w:val="single" w:sz="4" w:color="999999"/>
            </w:tcBorders>
          </w:tcPr>
          <w:p>
            <w:r>
              <w:rPr>
                <w:sz w:val="19"/>
              </w:rPr>
              <w:t>Brief reflection touching both sides.</w:t>
            </w:r>
          </w:p>
        </w:tc>
        <w:tc>
          <w:tcPr>
            <w:tcW w:type="dxa" w:w="1800"/>
            <w:tcBorders>
              <w:top w:val="single" w:sz="4" w:color="999999"/>
              <w:left w:val="single" w:sz="4" w:color="999999"/>
              <w:bottom w:val="single" w:sz="4" w:color="999999"/>
              <w:right w:val="single" w:sz="4" w:color="999999"/>
            </w:tcBorders>
          </w:tcPr>
          <w:p>
            <w:r>
              <w:rPr>
                <w:sz w:val="19"/>
              </w:rPr>
              <w:t>Reflection without counter-factual.</w:t>
            </w:r>
          </w:p>
        </w:tc>
        <w:tc>
          <w:tcPr>
            <w:tcW w:type="dxa" w:w="1800"/>
            <w:tcBorders>
              <w:top w:val="single" w:sz="4" w:color="999999"/>
              <w:left w:val="single" w:sz="4" w:color="999999"/>
              <w:bottom w:val="single" w:sz="4" w:color="999999"/>
              <w:right w:val="single" w:sz="4" w:color="999999"/>
            </w:tcBorders>
          </w:tcPr>
          <w:p>
            <w:r>
              <w:rPr>
                <w:sz w:val="19"/>
              </w:rPr>
              <w:t>No reflection.</w:t>
            </w:r>
          </w:p>
        </w:tc>
      </w:tr>
      <w:tr>
        <w:tc>
          <w:tcPr>
            <w:tcW w:type="dxa" w:w="2304"/>
            <w:shd w:val="clear" w:color="auto" w:fill="F2EAEB"/>
            <w:tcBorders>
              <w:top w:val="single" w:sz="4" w:color="999999"/>
              <w:left w:val="single" w:sz="4" w:color="999999"/>
              <w:bottom w:val="single" w:sz="4" w:color="999999"/>
              <w:right w:val="single" w:sz="4" w:color="999999"/>
            </w:tcBorders>
          </w:tcPr>
          <w:p>
            <w:pPr>
              <w:jc w:val="right"/>
            </w:pPr>
            <w:r>
              <w:rPr>
                <w:b/>
                <w:sz w:val="20"/>
              </w:rPr>
              <w:t>TOTAL</w:t>
            </w:r>
          </w:p>
        </w:tc>
        <w:tc>
          <w:tcPr>
            <w:tcW w:type="dxa" w:w="792"/>
            <w:shd w:val="clear" w:color="auto" w:fill="F2EAEB"/>
            <w:tcBorders>
              <w:top w:val="single" w:sz="4" w:color="999999"/>
              <w:left w:val="single" w:sz="4" w:color="999999"/>
              <w:bottom w:val="single" w:sz="4" w:color="999999"/>
              <w:right w:val="single" w:sz="4" w:color="999999"/>
            </w:tcBorders>
          </w:tcPr>
          <w:p>
            <w:pPr>
              <w:jc w:val="center"/>
            </w:pPr>
            <w:r>
              <w:rPr>
                <w:b/>
                <w:sz w:val="20"/>
              </w:rPr>
              <w:t>5.0</w:t>
            </w: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r>
    </w:tbl>
    <w:p>
      <w:pPr>
        <w:spacing w:before="280" w:after="80"/>
      </w:pPr>
      <w:r>
        <w:rPr>
          <w:rFonts w:ascii="Calibri" w:hAnsi="Calibri"/>
          <w:b/>
          <w:color w:val="A4232C"/>
          <w:sz w:val="20"/>
        </w:rPr>
        <w:t>HOW POINTS ARE AWARDED</w:t>
      </w:r>
    </w:p>
    <w:p>
      <w:pPr>
        <w:spacing w:after="120"/>
      </w:pPr>
      <w:r>
        <w:rPr>
          <w:rFonts w:ascii="Calibri" w:hAnsi="Calibri"/>
          <w:i/>
          <w:sz w:val="20"/>
        </w:rPr>
        <w:t>Exemplary = full points for that criterion. Proficient = 75% of points. Developing = 50% of points. Not Yet = 0–25% of points. Rounded to nearest 0.25.</w:t>
      </w:r>
    </w:p>
    <w:p>
      <w:pPr>
        <w:spacing w:before="360"/>
        <w:jc w:val="center"/>
      </w:pPr>
      <w:r>
        <w:rPr>
          <w:i/>
          <w:color w:val="6B6B6B"/>
          <w:sz w:val="16"/>
        </w:rPr>
        <w:t>ECPSE 729 · Ethics &amp; Professionalism in Applied Behavior Analysis  ·  Summer 2026  ·  Dr. Lenwood Gibson · Queens College, CUNY  ·  Module 03 · Week 03 · Sections 3.0 + 4.0</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