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b/>
          <w:color w:val="A4232C"/>
          <w:sz w:val="18"/>
        </w:rPr>
        <w:t>DECISION-MAKING LAB 4  ·  GRADING RUBRIC  ·  5 POINTS</w:t>
      </w:r>
    </w:p>
    <w:p>
      <w:pPr>
        <w:spacing w:before="40" w:after="40"/>
      </w:pPr>
      <w:r>
        <w:rPr>
          <w:rFonts w:ascii="Calibri" w:hAnsi="Calibri"/>
          <w:b/>
          <w:sz w:val="40"/>
        </w:rPr>
        <w:t>Decision-Making Lab 4 — Research/Clinical Dual-Role Scenario</w:t>
      </w:r>
    </w:p>
    <w:p>
      <w:pPr>
        <w:spacing w:after="240"/>
      </w:pPr>
      <w:r>
        <w:rPr>
          <w:i/>
          <w:color w:val="6B6B6B"/>
          <w:sz w:val="20"/>
        </w:rPr>
        <w:t>Module 04 · Week 04 · Sections 5.0 + 6.0 + Enforcement</w:t>
      </w:r>
    </w:p>
    <w:p>
      <w:pPr>
        <w:spacing w:before="280" w:after="80"/>
      </w:pPr>
      <w:r>
        <w:rPr>
          <w:rFonts w:ascii="Calibri" w:hAnsi="Calibri"/>
          <w:b/>
          <w:color w:val="A4232C"/>
          <w:sz w:val="20"/>
        </w:rPr>
        <w:t>THE SCENARIO</w:t>
      </w:r>
    </w:p>
    <w:p>
      <w:pPr>
        <w:spacing w:before="120" w:after="240"/>
        <w:ind w:left="360" w:right="360"/>
        <w:pBdr>
          <w:left w:val="single" w:sz="18" w:space="8" w:color="A4232C"/>
        </w:pBdr>
      </w:pPr>
      <w:r>
        <w:rPr>
          <w:rFonts w:ascii="Calibri" w:hAnsi="Calibri"/>
          <w:i/>
          <w:sz w:val="21"/>
        </w:rPr>
        <w:t>Dr. Chen is a BCBA-D and clinical director at a community-based ABA agency in Brooklyn. Over the past 18 months she ran a series of single-subject reversal designs with five clinical clients, testing a brief stimulus-pairing protocol she developed. The data are striking — large effects, clean reversals, a paper waiting to be written. She wants to submit it to JABA. The original parent intake forms include consent for treatment but no language about research participation or potential publication. Two of the five clients have aged out and the agency has lost contact with their families. She tells you she's planning to "retrospectively recast it as a clinical case series, since case studies don't require IRB." She also wants to add Maya — the BCaBA you supervise, who collected most of the data sessions — as second author. Maya wasn't told at the time that the data might be published. The agency director (your boss) is excited about the publication and has already mentioned it in a fundraising email to donors.</w:t>
      </w:r>
    </w:p>
    <w:p>
      <w:pPr>
        <w:spacing w:before="280" w:after="80"/>
      </w:pPr>
      <w:r>
        <w:rPr>
          <w:rFonts w:ascii="Calibri" w:hAnsi="Calibri"/>
          <w:b/>
          <w:color w:val="A4232C"/>
          <w:sz w:val="20"/>
        </w:rPr>
        <w:t>YOUR VIDEO MUST ADDRESS</w:t>
      </w:r>
    </w:p>
    <w:p>
      <w:pPr>
        <w:pStyle w:val="ListNumber"/>
        <w:spacing w:after="40"/>
      </w:pPr>
      <w:r>
        <w:rPr>
          <w:sz w:val="21"/>
        </w:rPr>
        <w:t>A restatement of the facts and a list of all relevant stakeholders — including the absent families who can't speak for themselves, and the donors who've already been told.</w:t>
      </w:r>
    </w:p>
    <w:p>
      <w:pPr>
        <w:pStyle w:val="ListNumber"/>
        <w:spacing w:after="40"/>
      </w:pPr>
      <w:r>
        <w:rPr>
          <w:sz w:val="21"/>
        </w:rPr>
        <w:t>The relevant Code citations — at minimum 6.01 (Conforming with Laws and Regulations), 6.02 (Research Review), 6.03 (Research in Service Delivery), 6.04 (Informed Consent in Research), 6.08 (Appropriate Credit / Authorship), 5.04 (Statements by Others), 4.01/4.04/4.10 (Maya supervision), 3.01/3.02 (clients' rights), 3.04 (Service Agreement), and 1.11 (Multiple Relationships). Identify others that apply.</w:t>
      </w:r>
    </w:p>
    <w:p>
      <w:pPr>
        <w:pStyle w:val="ListNumber"/>
        <w:spacing w:after="40"/>
      </w:pPr>
      <w:r>
        <w:rPr>
          <w:sz w:val="21"/>
        </w:rPr>
        <w:t>Identification of the relevant Core Principles — paying particular attention to Behave with Integrity and Maintain Competence.</w:t>
      </w:r>
    </w:p>
    <w:p>
      <w:pPr>
        <w:pStyle w:val="ListNumber"/>
        <w:spacing w:after="40"/>
      </w:pPr>
      <w:r>
        <w:rPr>
          <w:sz w:val="21"/>
        </w:rPr>
        <w:t>At least three considered courses of action with anticipated consequences for each. One must address what to do about the donor email that's already been sent.</w:t>
      </w:r>
    </w:p>
    <w:p>
      <w:pPr>
        <w:pStyle w:val="ListNumber"/>
        <w:spacing w:after="40"/>
      </w:pPr>
      <w:r>
        <w:rPr>
          <w:sz w:val="21"/>
        </w:rPr>
        <w:t>Your selected action and a clear rationale grounded in the Code, the Core Principles, and what you've learned across all four modules.</w:t>
      </w:r>
    </w:p>
    <w:p>
      <w:pPr>
        <w:pStyle w:val="ListNumber"/>
        <w:spacing w:after="40"/>
      </w:pPr>
      <w:r>
        <w:rPr>
          <w:sz w:val="21"/>
        </w:rPr>
        <w:t>A brief reflection: based on the Code-Enforcement Procedures and patterns you read this week, where would this scenario likely end up if it went forward as Dr. Chen proposes? Be specific about which Code sections would be cited and what consequence you'd expect.</w:t>
      </w:r>
    </w:p>
    <w:p>
      <w:pPr>
        <w:spacing w:before="280" w:after="80"/>
      </w:pPr>
      <w:r>
        <w:rPr>
          <w:rFonts w:ascii="Calibri" w:hAnsi="Calibri"/>
          <w:b/>
          <w:color w:val="A4232C"/>
          <w:sz w:val="20"/>
        </w:rPr>
        <w:t>FORMAT</w:t>
      </w:r>
    </w:p>
    <w:p>
      <w:pPr>
        <w:spacing w:after="120"/>
      </w:pPr>
      <w:r>
        <w:rPr>
          <w:rFonts w:ascii="Calibri" w:hAnsi="Calibri"/>
          <w:sz w:val="21"/>
        </w:rPr>
        <w:t>5–7 minute Brightspace Discussion Video, recorded directly in the Brightspace discussion thread. Cite Code sections by number as you discuss them — verbal citations are fine. Visual aids (e.g., a slide showing key Code citations) are welcome but not required.</w:t>
      </w:r>
    </w:p>
    <w:p>
      <w:pPr>
        <w:spacing w:before="280" w:after="80"/>
      </w:pPr>
      <w:r>
        <w:rPr>
          <w:rFonts w:ascii="Calibri" w:hAnsi="Calibri"/>
          <w:b/>
          <w:color w:val="A4232C"/>
          <w:sz w:val="20"/>
        </w:rPr>
        <w:t>GRADING RUBRIC</w:t>
      </w:r>
    </w:p>
    <w:tbl>
      <w:tblPr>
        <w:tblW w:type="auto" w:w="0"/>
        <w:jc w:val="center"/>
        <w:tblLayout w:type="fixed"/>
        <w:tblLook w:firstColumn="1" w:firstRow="1" w:lastColumn="0" w:lastRow="0" w:noHBand="0" w:noVBand="1" w:val="04A0"/>
      </w:tblPr>
      <w:tblGrid>
        <w:gridCol w:w="1704"/>
        <w:gridCol w:w="1704"/>
        <w:gridCol w:w="1704"/>
        <w:gridCol w:w="1704"/>
        <w:gridCol w:w="1704"/>
        <w:gridCol w:w="1704"/>
      </w:tblGrid>
      <w:tr>
        <w:tc>
          <w:tcPr>
            <w:tcW w:type="dxa" w:w="2304"/>
            <w:shd w:val="clear" w:color="auto" w:fill="A4232C"/>
            <w:tcBorders>
              <w:top w:val="single" w:sz="4" w:color="999999"/>
              <w:left w:val="single" w:sz="4" w:color="999999"/>
              <w:bottom w:val="single" w:sz="4" w:color="999999"/>
              <w:right w:val="single" w:sz="4" w:color="999999"/>
            </w:tcBorders>
          </w:tcPr>
          <w:p>
            <w:r/>
            <w:r>
              <w:rPr>
                <w:b/>
                <w:color w:val="FFFFFF"/>
                <w:sz w:val="20"/>
              </w:rPr>
              <w:t>Criterion</w:t>
            </w:r>
          </w:p>
        </w:tc>
        <w:tc>
          <w:tcPr>
            <w:tcW w:type="dxa" w:w="792"/>
            <w:shd w:val="clear" w:color="auto" w:fill="A4232C"/>
            <w:tcBorders>
              <w:top w:val="single" w:sz="4" w:color="999999"/>
              <w:left w:val="single" w:sz="4" w:color="999999"/>
              <w:bottom w:val="single" w:sz="4" w:color="999999"/>
              <w:right w:val="single" w:sz="4" w:color="999999"/>
            </w:tcBorders>
          </w:tcPr>
          <w:p>
            <w:r/>
            <w:r>
              <w:rPr>
                <w:b/>
                <w:color w:val="FFFFFF"/>
                <w:sz w:val="20"/>
              </w:rPr>
              <w:t>Pts</w:t>
            </w:r>
          </w:p>
        </w:tc>
        <w:tc>
          <w:tcPr>
            <w:tcW w:type="dxa" w:w="1800"/>
            <w:shd w:val="clear" w:color="auto" w:fill="A4232C"/>
            <w:tcBorders>
              <w:top w:val="single" w:sz="4" w:color="999999"/>
              <w:left w:val="single" w:sz="4" w:color="999999"/>
              <w:bottom w:val="single" w:sz="4" w:color="999999"/>
              <w:right w:val="single" w:sz="4" w:color="999999"/>
            </w:tcBorders>
          </w:tcPr>
          <w:p>
            <w:pPr>
              <w:jc w:val="center"/>
            </w:pPr>
            <w:r>
              <w:rPr>
                <w:b/>
                <w:color w:val="FFFFFF"/>
                <w:sz w:val="20"/>
              </w:rPr>
              <w:t>Exemplary</w:t>
            </w:r>
          </w:p>
        </w:tc>
        <w:tc>
          <w:tcPr>
            <w:tcW w:type="dxa" w:w="1800"/>
            <w:shd w:val="clear" w:color="auto" w:fill="A4232C"/>
            <w:tcBorders>
              <w:top w:val="single" w:sz="4" w:color="999999"/>
              <w:left w:val="single" w:sz="4" w:color="999999"/>
              <w:bottom w:val="single" w:sz="4" w:color="999999"/>
              <w:right w:val="single" w:sz="4" w:color="999999"/>
            </w:tcBorders>
          </w:tcPr>
          <w:p>
            <w:pPr>
              <w:jc w:val="center"/>
            </w:pPr>
            <w:r>
              <w:rPr>
                <w:b/>
                <w:color w:val="FFFFFF"/>
                <w:sz w:val="20"/>
              </w:rPr>
              <w:t>Proficient</w:t>
            </w:r>
          </w:p>
        </w:tc>
        <w:tc>
          <w:tcPr>
            <w:tcW w:type="dxa" w:w="1800"/>
            <w:shd w:val="clear" w:color="auto" w:fill="A4232C"/>
            <w:tcBorders>
              <w:top w:val="single" w:sz="4" w:color="999999"/>
              <w:left w:val="single" w:sz="4" w:color="999999"/>
              <w:bottom w:val="single" w:sz="4" w:color="999999"/>
              <w:right w:val="single" w:sz="4" w:color="999999"/>
            </w:tcBorders>
          </w:tcPr>
          <w:p>
            <w:pPr>
              <w:jc w:val="center"/>
            </w:pPr>
            <w:r>
              <w:rPr>
                <w:b/>
                <w:color w:val="FFFFFF"/>
                <w:sz w:val="20"/>
              </w:rPr>
              <w:t>Developing</w:t>
            </w:r>
          </w:p>
        </w:tc>
        <w:tc>
          <w:tcPr>
            <w:tcW w:type="dxa" w:w="1800"/>
            <w:shd w:val="clear" w:color="auto" w:fill="A4232C"/>
            <w:tcBorders>
              <w:top w:val="single" w:sz="4" w:color="999999"/>
              <w:left w:val="single" w:sz="4" w:color="999999"/>
              <w:bottom w:val="single" w:sz="4" w:color="999999"/>
              <w:right w:val="single" w:sz="4" w:color="999999"/>
            </w:tcBorders>
          </w:tcPr>
          <w:p>
            <w:pPr>
              <w:jc w:val="center"/>
            </w:pPr>
            <w:r>
              <w:rPr>
                <w:b/>
                <w:color w:val="FFFFFF"/>
                <w:sz w:val="20"/>
              </w:rPr>
              <w:t>Not Yet</w:t>
            </w:r>
          </w:p>
        </w:tc>
      </w:tr>
      <w:tr>
        <w:tc>
          <w:tcPr>
            <w:tcW w:type="dxa" w:w="2304"/>
            <w:tcBorders>
              <w:top w:val="single" w:sz="4" w:color="999999"/>
              <w:left w:val="single" w:sz="4" w:color="999999"/>
              <w:bottom w:val="single" w:sz="4" w:color="999999"/>
              <w:right w:val="single" w:sz="4" w:color="999999"/>
            </w:tcBorders>
          </w:tcPr>
          <w:p>
            <w:r>
              <w:rPr>
                <w:b/>
                <w:sz w:val="20"/>
              </w:rPr>
              <w:t>Facts &amp; Stakeholders (incl. absent families, donors)</w:t>
            </w:r>
          </w:p>
        </w:tc>
        <w:tc>
          <w:tcPr>
            <w:tcW w:type="dxa" w:w="792"/>
            <w:tcBorders>
              <w:top w:val="single" w:sz="4" w:color="999999"/>
              <w:left w:val="single" w:sz="4" w:color="999999"/>
              <w:bottom w:val="single" w:sz="4" w:color="999999"/>
              <w:right w:val="single" w:sz="4" w:color="999999"/>
            </w:tcBorders>
          </w:tcPr>
          <w:p>
            <w:pPr>
              <w:jc w:val="center"/>
            </w:pPr>
            <w:r>
              <w:rPr>
                <w:b/>
                <w:sz w:val="20"/>
              </w:rPr>
              <w:t>1.0</w:t>
            </w:r>
          </w:p>
        </w:tc>
        <w:tc>
          <w:tcPr>
            <w:tcW w:type="dxa" w:w="1800"/>
            <w:tcBorders>
              <w:top w:val="single" w:sz="4" w:color="999999"/>
              <w:left w:val="single" w:sz="4" w:color="999999"/>
              <w:bottom w:val="single" w:sz="4" w:color="999999"/>
              <w:right w:val="single" w:sz="4" w:color="999999"/>
            </w:tcBorders>
          </w:tcPr>
          <w:p>
            <w:r>
              <w:rPr>
                <w:sz w:val="19"/>
              </w:rPr>
              <w:t>Names all stakeholders including absent families who can't speak, the BCaBA Maya, the donors who've already been told, Dr. Chen, the director, the IRB-that-isn't.</w:t>
            </w:r>
          </w:p>
        </w:tc>
        <w:tc>
          <w:tcPr>
            <w:tcW w:type="dxa" w:w="1800"/>
            <w:tcBorders>
              <w:top w:val="single" w:sz="4" w:color="999999"/>
              <w:left w:val="single" w:sz="4" w:color="999999"/>
              <w:bottom w:val="single" w:sz="4" w:color="999999"/>
              <w:right w:val="single" w:sz="4" w:color="999999"/>
            </w:tcBorders>
          </w:tcPr>
          <w:p>
            <w:r>
              <w:rPr>
                <w:sz w:val="19"/>
              </w:rPr>
              <w:t>Names primary stakeholders + absent families OR donors.</w:t>
            </w:r>
          </w:p>
        </w:tc>
        <w:tc>
          <w:tcPr>
            <w:tcW w:type="dxa" w:w="1800"/>
            <w:tcBorders>
              <w:top w:val="single" w:sz="4" w:color="999999"/>
              <w:left w:val="single" w:sz="4" w:color="999999"/>
              <w:bottom w:val="single" w:sz="4" w:color="999999"/>
              <w:right w:val="single" w:sz="4" w:color="999999"/>
            </w:tcBorders>
          </w:tcPr>
          <w:p>
            <w:r>
              <w:rPr>
                <w:sz w:val="19"/>
              </w:rPr>
              <w:t>Names primary stakeholders; misses absent families AND donors.</w:t>
            </w:r>
          </w:p>
        </w:tc>
        <w:tc>
          <w:tcPr>
            <w:tcW w:type="dxa" w:w="1800"/>
            <w:tcBorders>
              <w:top w:val="single" w:sz="4" w:color="999999"/>
              <w:left w:val="single" w:sz="4" w:color="999999"/>
              <w:bottom w:val="single" w:sz="4" w:color="999999"/>
              <w:right w:val="single" w:sz="4" w:color="999999"/>
            </w:tcBorders>
          </w:tcPr>
          <w:p>
            <w:r>
              <w:rPr>
                <w:sz w:val="19"/>
              </w:rPr>
              <w:t>Stakeholders incomplete.</w:t>
            </w:r>
          </w:p>
        </w:tc>
      </w:tr>
      <w:tr>
        <w:tc>
          <w:tcPr>
            <w:tcW w:type="dxa" w:w="2304"/>
            <w:tcBorders>
              <w:top w:val="single" w:sz="4" w:color="999999"/>
              <w:left w:val="single" w:sz="4" w:color="999999"/>
              <w:bottom w:val="single" w:sz="4" w:color="999999"/>
              <w:right w:val="single" w:sz="4" w:color="999999"/>
            </w:tcBorders>
          </w:tcPr>
          <w:p>
            <w:r>
              <w:rPr>
                <w:b/>
                <w:sz w:val="20"/>
              </w:rPr>
              <w:t>Code Citations (10+ required across Sections)</w:t>
            </w:r>
          </w:p>
        </w:tc>
        <w:tc>
          <w:tcPr>
            <w:tcW w:type="dxa" w:w="792"/>
            <w:tcBorders>
              <w:top w:val="single" w:sz="4" w:color="999999"/>
              <w:left w:val="single" w:sz="4" w:color="999999"/>
              <w:bottom w:val="single" w:sz="4" w:color="999999"/>
              <w:right w:val="single" w:sz="4" w:color="999999"/>
            </w:tcBorders>
          </w:tcPr>
          <w:p>
            <w:pPr>
              <w:jc w:val="center"/>
            </w:pPr>
            <w:r>
              <w:rPr>
                <w:b/>
                <w:sz w:val="20"/>
              </w:rPr>
              <w:t>1.0</w:t>
            </w:r>
          </w:p>
        </w:tc>
        <w:tc>
          <w:tcPr>
            <w:tcW w:type="dxa" w:w="1800"/>
            <w:tcBorders>
              <w:top w:val="single" w:sz="4" w:color="999999"/>
              <w:left w:val="single" w:sz="4" w:color="999999"/>
              <w:bottom w:val="single" w:sz="4" w:color="999999"/>
              <w:right w:val="single" w:sz="4" w:color="999999"/>
            </w:tcBorders>
          </w:tcPr>
          <w:p>
            <w:r>
              <w:rPr>
                <w:sz w:val="19"/>
              </w:rPr>
              <w:t>Cites all required codes across §6, §5, §4, §1, §3 accurately; cites 12+ codes total with appropriate cross-references.</w:t>
            </w:r>
          </w:p>
        </w:tc>
        <w:tc>
          <w:tcPr>
            <w:tcW w:type="dxa" w:w="1800"/>
            <w:tcBorders>
              <w:top w:val="single" w:sz="4" w:color="999999"/>
              <w:left w:val="single" w:sz="4" w:color="999999"/>
              <w:bottom w:val="single" w:sz="4" w:color="999999"/>
              <w:right w:val="single" w:sz="4" w:color="999999"/>
            </w:tcBorders>
          </w:tcPr>
          <w:p>
            <w:r>
              <w:rPr>
                <w:sz w:val="19"/>
              </w:rPr>
              <w:t>Cites all required codes accurately.</w:t>
            </w:r>
          </w:p>
        </w:tc>
        <w:tc>
          <w:tcPr>
            <w:tcW w:type="dxa" w:w="1800"/>
            <w:tcBorders>
              <w:top w:val="single" w:sz="4" w:color="999999"/>
              <w:left w:val="single" w:sz="4" w:color="999999"/>
              <w:bottom w:val="single" w:sz="4" w:color="999999"/>
              <w:right w:val="single" w:sz="4" w:color="999999"/>
            </w:tcBorders>
          </w:tcPr>
          <w:p>
            <w:r>
              <w:rPr>
                <w:sz w:val="19"/>
              </w:rPr>
              <w:t>Cites most required codes; some inaccuracy.</w:t>
            </w:r>
          </w:p>
        </w:tc>
        <w:tc>
          <w:tcPr>
            <w:tcW w:type="dxa" w:w="1800"/>
            <w:tcBorders>
              <w:top w:val="single" w:sz="4" w:color="999999"/>
              <w:left w:val="single" w:sz="4" w:color="999999"/>
              <w:bottom w:val="single" w:sz="4" w:color="999999"/>
              <w:right w:val="single" w:sz="4" w:color="999999"/>
            </w:tcBorders>
          </w:tcPr>
          <w:p>
            <w:r>
              <w:rPr>
                <w:sz w:val="19"/>
              </w:rPr>
              <w:t>Major code categories missed.</w:t>
            </w:r>
          </w:p>
        </w:tc>
      </w:tr>
      <w:tr>
        <w:tc>
          <w:tcPr>
            <w:tcW w:type="dxa" w:w="2304"/>
            <w:tcBorders>
              <w:top w:val="single" w:sz="4" w:color="999999"/>
              <w:left w:val="single" w:sz="4" w:color="999999"/>
              <w:bottom w:val="single" w:sz="4" w:color="999999"/>
              <w:right w:val="single" w:sz="4" w:color="999999"/>
            </w:tcBorders>
          </w:tcPr>
          <w:p>
            <w:r>
              <w:rPr>
                <w:b/>
                <w:sz w:val="20"/>
              </w:rPr>
              <w:t>Core Principles (Integrity + Competence)</w:t>
            </w:r>
          </w:p>
        </w:tc>
        <w:tc>
          <w:tcPr>
            <w:tcW w:type="dxa" w:w="792"/>
            <w:tcBorders>
              <w:top w:val="single" w:sz="4" w:color="999999"/>
              <w:left w:val="single" w:sz="4" w:color="999999"/>
              <w:bottom w:val="single" w:sz="4" w:color="999999"/>
              <w:right w:val="single" w:sz="4" w:color="999999"/>
            </w:tcBorders>
          </w:tcPr>
          <w:p>
            <w:pPr>
              <w:jc w:val="center"/>
            </w:pPr>
            <w:r>
              <w:rPr>
                <w:b/>
                <w:sz w:val="20"/>
              </w:rPr>
              <w:t>0.5</w:t>
            </w:r>
          </w:p>
        </w:tc>
        <w:tc>
          <w:tcPr>
            <w:tcW w:type="dxa" w:w="1800"/>
            <w:tcBorders>
              <w:top w:val="single" w:sz="4" w:color="999999"/>
              <w:left w:val="single" w:sz="4" w:color="999999"/>
              <w:bottom w:val="single" w:sz="4" w:color="999999"/>
              <w:right w:val="single" w:sz="4" w:color="999999"/>
            </w:tcBorders>
          </w:tcPr>
          <w:p>
            <w:r>
              <w:rPr>
                <w:sz w:val="19"/>
              </w:rPr>
              <w:t>Names Behave with Integrity &amp; Maintain Competence; explains operation including the "retrospective case series" framing as a 6.05/6.10/integrity issue.</w:t>
            </w:r>
          </w:p>
        </w:tc>
        <w:tc>
          <w:tcPr>
            <w:tcW w:type="dxa" w:w="1800"/>
            <w:tcBorders>
              <w:top w:val="single" w:sz="4" w:color="999999"/>
              <w:left w:val="single" w:sz="4" w:color="999999"/>
              <w:bottom w:val="single" w:sz="4" w:color="999999"/>
              <w:right w:val="single" w:sz="4" w:color="999999"/>
            </w:tcBorders>
          </w:tcPr>
          <w:p>
            <w:r>
              <w:rPr>
                <w:sz w:val="19"/>
              </w:rPr>
              <w:t>Names both Principles with brief explanation.</w:t>
            </w:r>
          </w:p>
        </w:tc>
        <w:tc>
          <w:tcPr>
            <w:tcW w:type="dxa" w:w="1800"/>
            <w:tcBorders>
              <w:top w:val="single" w:sz="4" w:color="999999"/>
              <w:left w:val="single" w:sz="4" w:color="999999"/>
              <w:bottom w:val="single" w:sz="4" w:color="999999"/>
              <w:right w:val="single" w:sz="4" w:color="999999"/>
            </w:tcBorders>
          </w:tcPr>
          <w:p>
            <w:r>
              <w:rPr>
                <w:sz w:val="19"/>
              </w:rPr>
              <w:t>Names one Principle clearly.</w:t>
            </w:r>
          </w:p>
        </w:tc>
        <w:tc>
          <w:tcPr>
            <w:tcW w:type="dxa" w:w="1800"/>
            <w:tcBorders>
              <w:top w:val="single" w:sz="4" w:color="999999"/>
              <w:left w:val="single" w:sz="4" w:color="999999"/>
              <w:bottom w:val="single" w:sz="4" w:color="999999"/>
              <w:right w:val="single" w:sz="4" w:color="999999"/>
            </w:tcBorders>
          </w:tcPr>
          <w:p>
            <w:r>
              <w:rPr>
                <w:sz w:val="19"/>
              </w:rPr>
              <w:t>Principles missing.</w:t>
            </w:r>
          </w:p>
        </w:tc>
      </w:tr>
      <w:tr>
        <w:tc>
          <w:tcPr>
            <w:tcW w:type="dxa" w:w="2304"/>
            <w:tcBorders>
              <w:top w:val="single" w:sz="4" w:color="999999"/>
              <w:left w:val="single" w:sz="4" w:color="999999"/>
              <w:bottom w:val="single" w:sz="4" w:color="999999"/>
              <w:right w:val="single" w:sz="4" w:color="999999"/>
            </w:tcBorders>
          </w:tcPr>
          <w:p>
            <w:r>
              <w:rPr>
                <w:b/>
                <w:sz w:val="20"/>
              </w:rPr>
              <w:t>Courses of Action (one addresses the donor email)</w:t>
            </w:r>
          </w:p>
        </w:tc>
        <w:tc>
          <w:tcPr>
            <w:tcW w:type="dxa" w:w="792"/>
            <w:tcBorders>
              <w:top w:val="single" w:sz="4" w:color="999999"/>
              <w:left w:val="single" w:sz="4" w:color="999999"/>
              <w:bottom w:val="single" w:sz="4" w:color="999999"/>
              <w:right w:val="single" w:sz="4" w:color="999999"/>
            </w:tcBorders>
          </w:tcPr>
          <w:p>
            <w:pPr>
              <w:jc w:val="center"/>
            </w:pPr>
            <w:r>
              <w:rPr>
                <w:b/>
                <w:sz w:val="20"/>
              </w:rPr>
              <w:t>1.0</w:t>
            </w:r>
          </w:p>
        </w:tc>
        <w:tc>
          <w:tcPr>
            <w:tcW w:type="dxa" w:w="1800"/>
            <w:tcBorders>
              <w:top w:val="single" w:sz="4" w:color="999999"/>
              <w:left w:val="single" w:sz="4" w:color="999999"/>
              <w:bottom w:val="single" w:sz="4" w:color="999999"/>
              <w:right w:val="single" w:sz="4" w:color="999999"/>
            </w:tcBorders>
          </w:tcPr>
          <w:p>
            <w:r>
              <w:rPr>
                <w:sz w:val="19"/>
              </w:rPr>
              <w:t>3+ courses; one explicitly addresses the donor email already sent; one addresses Maya's authorship.</w:t>
            </w:r>
          </w:p>
        </w:tc>
        <w:tc>
          <w:tcPr>
            <w:tcW w:type="dxa" w:w="1800"/>
            <w:tcBorders>
              <w:top w:val="single" w:sz="4" w:color="999999"/>
              <w:left w:val="single" w:sz="4" w:color="999999"/>
              <w:bottom w:val="single" w:sz="4" w:color="999999"/>
              <w:right w:val="single" w:sz="4" w:color="999999"/>
            </w:tcBorders>
          </w:tcPr>
          <w:p>
            <w:r>
              <w:rPr>
                <w:sz w:val="19"/>
              </w:rPr>
              <w:t>3 courses; donor email addressed.</w:t>
            </w:r>
          </w:p>
        </w:tc>
        <w:tc>
          <w:tcPr>
            <w:tcW w:type="dxa" w:w="1800"/>
            <w:tcBorders>
              <w:top w:val="single" w:sz="4" w:color="999999"/>
              <w:left w:val="single" w:sz="4" w:color="999999"/>
              <w:bottom w:val="single" w:sz="4" w:color="999999"/>
              <w:right w:val="single" w:sz="4" w:color="999999"/>
            </w:tcBorders>
          </w:tcPr>
          <w:p>
            <w:r>
              <w:rPr>
                <w:sz w:val="19"/>
              </w:rPr>
              <w:t>3 courses but donor email or authorship unaddressed.</w:t>
            </w:r>
          </w:p>
        </w:tc>
        <w:tc>
          <w:tcPr>
            <w:tcW w:type="dxa" w:w="1800"/>
            <w:tcBorders>
              <w:top w:val="single" w:sz="4" w:color="999999"/>
              <w:left w:val="single" w:sz="4" w:color="999999"/>
              <w:bottom w:val="single" w:sz="4" w:color="999999"/>
              <w:right w:val="single" w:sz="4" w:color="999999"/>
            </w:tcBorders>
          </w:tcPr>
          <w:p>
            <w:r>
              <w:rPr>
                <w:sz w:val="19"/>
              </w:rPr>
              <w:t>&lt;2 courses.</w:t>
            </w:r>
          </w:p>
        </w:tc>
      </w:tr>
      <w:tr>
        <w:tc>
          <w:tcPr>
            <w:tcW w:type="dxa" w:w="2304"/>
            <w:tcBorders>
              <w:top w:val="single" w:sz="4" w:color="999999"/>
              <w:left w:val="single" w:sz="4" w:color="999999"/>
              <w:bottom w:val="single" w:sz="4" w:color="999999"/>
              <w:right w:val="single" w:sz="4" w:color="999999"/>
            </w:tcBorders>
          </w:tcPr>
          <w:p>
            <w:r>
              <w:rPr>
                <w:b/>
                <w:sz w:val="20"/>
              </w:rPr>
              <w:t>Selected Action &amp; Rationale (integrates 4 modules)</w:t>
            </w:r>
          </w:p>
        </w:tc>
        <w:tc>
          <w:tcPr>
            <w:tcW w:type="dxa" w:w="792"/>
            <w:tcBorders>
              <w:top w:val="single" w:sz="4" w:color="999999"/>
              <w:left w:val="single" w:sz="4" w:color="999999"/>
              <w:bottom w:val="single" w:sz="4" w:color="999999"/>
              <w:right w:val="single" w:sz="4" w:color="999999"/>
            </w:tcBorders>
          </w:tcPr>
          <w:p>
            <w:pPr>
              <w:jc w:val="center"/>
            </w:pPr>
            <w:r>
              <w:rPr>
                <w:b/>
                <w:sz w:val="20"/>
              </w:rPr>
              <w:t>1.0</w:t>
            </w:r>
          </w:p>
        </w:tc>
        <w:tc>
          <w:tcPr>
            <w:tcW w:type="dxa" w:w="1800"/>
            <w:tcBorders>
              <w:top w:val="single" w:sz="4" w:color="999999"/>
              <w:left w:val="single" w:sz="4" w:color="999999"/>
              <w:bottom w:val="single" w:sz="4" w:color="999999"/>
              <w:right w:val="single" w:sz="4" w:color="999999"/>
            </w:tcBorders>
          </w:tcPr>
          <w:p>
            <w:r>
              <w:rPr>
                <w:sz w:val="19"/>
              </w:rPr>
              <w:t>Action grounded in Code, Principles, and synthesizes learning across all four modules.</w:t>
            </w:r>
          </w:p>
        </w:tc>
        <w:tc>
          <w:tcPr>
            <w:tcW w:type="dxa" w:w="1800"/>
            <w:tcBorders>
              <w:top w:val="single" w:sz="4" w:color="999999"/>
              <w:left w:val="single" w:sz="4" w:color="999999"/>
              <w:bottom w:val="single" w:sz="4" w:color="999999"/>
              <w:right w:val="single" w:sz="4" w:color="999999"/>
            </w:tcBorders>
          </w:tcPr>
          <w:p>
            <w:r>
              <w:rPr>
                <w:sz w:val="19"/>
              </w:rPr>
              <w:t>Action with Code &amp; Principles rationale.</w:t>
            </w:r>
          </w:p>
        </w:tc>
        <w:tc>
          <w:tcPr>
            <w:tcW w:type="dxa" w:w="1800"/>
            <w:tcBorders>
              <w:top w:val="single" w:sz="4" w:color="999999"/>
              <w:left w:val="single" w:sz="4" w:color="999999"/>
              <w:bottom w:val="single" w:sz="4" w:color="999999"/>
              <w:right w:val="single" w:sz="4" w:color="999999"/>
            </w:tcBorders>
          </w:tcPr>
          <w:p>
            <w:r>
              <w:rPr>
                <w:sz w:val="19"/>
              </w:rPr>
              <w:t>Action chosen but rationale isolated to §6.</w:t>
            </w:r>
          </w:p>
        </w:tc>
        <w:tc>
          <w:tcPr>
            <w:tcW w:type="dxa" w:w="1800"/>
            <w:tcBorders>
              <w:top w:val="single" w:sz="4" w:color="999999"/>
              <w:left w:val="single" w:sz="4" w:color="999999"/>
              <w:bottom w:val="single" w:sz="4" w:color="999999"/>
              <w:right w:val="single" w:sz="4" w:color="999999"/>
            </w:tcBorders>
          </w:tcPr>
          <w:p>
            <w:r>
              <w:rPr>
                <w:sz w:val="19"/>
              </w:rPr>
              <w:t>Action unclear.</w:t>
            </w:r>
          </w:p>
        </w:tc>
      </w:tr>
      <w:tr>
        <w:tc>
          <w:tcPr>
            <w:tcW w:type="dxa" w:w="2304"/>
            <w:tcBorders>
              <w:top w:val="single" w:sz="4" w:color="999999"/>
              <w:left w:val="single" w:sz="4" w:color="999999"/>
              <w:bottom w:val="single" w:sz="4" w:color="999999"/>
              <w:right w:val="single" w:sz="4" w:color="999999"/>
            </w:tcBorders>
          </w:tcPr>
          <w:p>
            <w:r>
              <w:rPr>
                <w:b/>
                <w:sz w:val="20"/>
              </w:rPr>
              <w:t>Enforcement-Pattern Reflection</w:t>
            </w:r>
          </w:p>
        </w:tc>
        <w:tc>
          <w:tcPr>
            <w:tcW w:type="dxa" w:w="792"/>
            <w:tcBorders>
              <w:top w:val="single" w:sz="4" w:color="999999"/>
              <w:left w:val="single" w:sz="4" w:color="999999"/>
              <w:bottom w:val="single" w:sz="4" w:color="999999"/>
              <w:right w:val="single" w:sz="4" w:color="999999"/>
            </w:tcBorders>
          </w:tcPr>
          <w:p>
            <w:pPr>
              <w:jc w:val="center"/>
            </w:pPr>
            <w:r>
              <w:rPr>
                <w:b/>
                <w:sz w:val="20"/>
              </w:rPr>
              <w:t>0.5</w:t>
            </w:r>
          </w:p>
        </w:tc>
        <w:tc>
          <w:tcPr>
            <w:tcW w:type="dxa" w:w="1800"/>
            <w:tcBorders>
              <w:top w:val="single" w:sz="4" w:color="999999"/>
              <w:left w:val="single" w:sz="4" w:color="999999"/>
              <w:bottom w:val="single" w:sz="4" w:color="999999"/>
              <w:right w:val="single" w:sz="4" w:color="999999"/>
            </w:tcBorders>
          </w:tcPr>
          <w:p>
            <w:r>
              <w:rPr>
                <w:sz w:val="19"/>
              </w:rPr>
              <w:t>Predicts likely BACB enforcement outcome with specific Code-Enforcement sections and realistic sanction range based on patterns read this week.</w:t>
            </w:r>
          </w:p>
        </w:tc>
        <w:tc>
          <w:tcPr>
            <w:tcW w:type="dxa" w:w="1800"/>
            <w:tcBorders>
              <w:top w:val="single" w:sz="4" w:color="999999"/>
              <w:left w:val="single" w:sz="4" w:color="999999"/>
              <w:bottom w:val="single" w:sz="4" w:color="999999"/>
              <w:right w:val="single" w:sz="4" w:color="999999"/>
            </w:tcBorders>
          </w:tcPr>
          <w:p>
            <w:r>
              <w:rPr>
                <w:sz w:val="19"/>
              </w:rPr>
              <w:t>Predicts outcome with one or two Code citations.</w:t>
            </w:r>
          </w:p>
        </w:tc>
        <w:tc>
          <w:tcPr>
            <w:tcW w:type="dxa" w:w="1800"/>
            <w:tcBorders>
              <w:top w:val="single" w:sz="4" w:color="999999"/>
              <w:left w:val="single" w:sz="4" w:color="999999"/>
              <w:bottom w:val="single" w:sz="4" w:color="999999"/>
              <w:right w:val="single" w:sz="4" w:color="999999"/>
            </w:tcBorders>
          </w:tcPr>
          <w:p>
            <w:r>
              <w:rPr>
                <w:sz w:val="19"/>
              </w:rPr>
              <w:t>General prediction without enforcement specifics.</w:t>
            </w:r>
          </w:p>
        </w:tc>
        <w:tc>
          <w:tcPr>
            <w:tcW w:type="dxa" w:w="1800"/>
            <w:tcBorders>
              <w:top w:val="single" w:sz="4" w:color="999999"/>
              <w:left w:val="single" w:sz="4" w:color="999999"/>
              <w:bottom w:val="single" w:sz="4" w:color="999999"/>
              <w:right w:val="single" w:sz="4" w:color="999999"/>
            </w:tcBorders>
          </w:tcPr>
          <w:p>
            <w:r>
              <w:rPr>
                <w:sz w:val="19"/>
              </w:rPr>
              <w:t>No reflection.</w:t>
            </w:r>
          </w:p>
        </w:tc>
      </w:tr>
      <w:tr>
        <w:tc>
          <w:tcPr>
            <w:tcW w:type="dxa" w:w="2304"/>
            <w:shd w:val="clear" w:color="auto" w:fill="F2EAEB"/>
            <w:tcBorders>
              <w:top w:val="single" w:sz="4" w:color="999999"/>
              <w:left w:val="single" w:sz="4" w:color="999999"/>
              <w:bottom w:val="single" w:sz="4" w:color="999999"/>
              <w:right w:val="single" w:sz="4" w:color="999999"/>
            </w:tcBorders>
          </w:tcPr>
          <w:p>
            <w:pPr>
              <w:jc w:val="right"/>
            </w:pPr>
            <w:r>
              <w:rPr>
                <w:b/>
                <w:sz w:val="20"/>
              </w:rPr>
              <w:t>TOTAL</w:t>
            </w:r>
          </w:p>
        </w:tc>
        <w:tc>
          <w:tcPr>
            <w:tcW w:type="dxa" w:w="792"/>
            <w:shd w:val="clear" w:color="auto" w:fill="F2EAEB"/>
            <w:tcBorders>
              <w:top w:val="single" w:sz="4" w:color="999999"/>
              <w:left w:val="single" w:sz="4" w:color="999999"/>
              <w:bottom w:val="single" w:sz="4" w:color="999999"/>
              <w:right w:val="single" w:sz="4" w:color="999999"/>
            </w:tcBorders>
          </w:tcPr>
          <w:p>
            <w:pPr>
              <w:jc w:val="center"/>
            </w:pPr>
            <w:r>
              <w:rPr>
                <w:b/>
                <w:sz w:val="20"/>
              </w:rPr>
              <w:t>5.0</w:t>
            </w:r>
          </w:p>
        </w:tc>
        <w:tc>
          <w:tcPr>
            <w:tcW w:type="dxa" w:w="1800"/>
            <w:tcBorders>
              <w:top w:val="single" w:sz="4" w:color="999999"/>
              <w:left w:val="single" w:sz="4" w:color="999999"/>
              <w:bottom w:val="single" w:sz="4" w:color="999999"/>
              <w:right w:val="single" w:sz="4" w:color="999999"/>
            </w:tcBorders>
          </w:tcPr>
          <w:p/>
        </w:tc>
        <w:tc>
          <w:tcPr>
            <w:tcW w:type="dxa" w:w="1800"/>
            <w:tcBorders>
              <w:top w:val="single" w:sz="4" w:color="999999"/>
              <w:left w:val="single" w:sz="4" w:color="999999"/>
              <w:bottom w:val="single" w:sz="4" w:color="999999"/>
              <w:right w:val="single" w:sz="4" w:color="999999"/>
            </w:tcBorders>
          </w:tcPr>
          <w:p/>
        </w:tc>
        <w:tc>
          <w:tcPr>
            <w:tcW w:type="dxa" w:w="1800"/>
            <w:tcBorders>
              <w:top w:val="single" w:sz="4" w:color="999999"/>
              <w:left w:val="single" w:sz="4" w:color="999999"/>
              <w:bottom w:val="single" w:sz="4" w:color="999999"/>
              <w:right w:val="single" w:sz="4" w:color="999999"/>
            </w:tcBorders>
          </w:tcPr>
          <w:p/>
        </w:tc>
        <w:tc>
          <w:tcPr>
            <w:tcW w:type="dxa" w:w="1800"/>
            <w:tcBorders>
              <w:top w:val="single" w:sz="4" w:color="999999"/>
              <w:left w:val="single" w:sz="4" w:color="999999"/>
              <w:bottom w:val="single" w:sz="4" w:color="999999"/>
              <w:right w:val="single" w:sz="4" w:color="999999"/>
            </w:tcBorders>
          </w:tcPr>
          <w:p/>
        </w:tc>
      </w:tr>
    </w:tbl>
    <w:p>
      <w:pPr>
        <w:spacing w:before="280" w:after="80"/>
      </w:pPr>
      <w:r>
        <w:rPr>
          <w:rFonts w:ascii="Calibri" w:hAnsi="Calibri"/>
          <w:b/>
          <w:color w:val="A4232C"/>
          <w:sz w:val="20"/>
        </w:rPr>
        <w:t>HOW POINTS ARE AWARDED</w:t>
      </w:r>
    </w:p>
    <w:p>
      <w:pPr>
        <w:spacing w:after="120"/>
      </w:pPr>
      <w:r>
        <w:rPr>
          <w:rFonts w:ascii="Calibri" w:hAnsi="Calibri"/>
          <w:i/>
          <w:sz w:val="20"/>
        </w:rPr>
        <w:t>Exemplary = full points for that criterion. Proficient = 75% of points. Developing = 50% of points. Not Yet = 0–25% of points. Rounded to nearest 0.25.</w:t>
      </w:r>
    </w:p>
    <w:p>
      <w:pPr>
        <w:spacing w:before="360"/>
        <w:jc w:val="center"/>
      </w:pPr>
      <w:r>
        <w:rPr>
          <w:i/>
          <w:color w:val="6B6B6B"/>
          <w:sz w:val="16"/>
        </w:rPr>
        <w:t>ECPSE 729 · Ethics &amp; Professionalism in Applied Behavior Analysis  ·  Summer 2026  ·  Dr. Lenwood Gibson · Queens College, CUNY  ·  Module 04 · Week 04 · Sections 5.0 + 6.0 + Enforcement</w:t>
      </w:r>
    </w:p>
    <w:sectPr w:rsidR="00FC693F" w:rsidRPr="0006063C" w:rsidSect="00034616">
      <w:pgSz w:w="12240" w:h="15840"/>
      <w:pgMar w:top="1008"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