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PRS Analysis for WSL</w:t>
      </w:r>
    </w:p>
    <w:p>
      <w:pPr>
        <w:pStyle w:val="Date"/>
      </w:pPr>
      <w:r>
        <w:t xml:space="preserve">2025-02-25</w:t>
      </w:r>
    </w:p>
    <w:p>
      <w:pPr>
        <w:pStyle w:val="FirstParagraph"/>
      </w:pPr>
      <w:r>
        <w:t xml:space="preserve">For the</w:t>
      </w:r>
      <w:r>
        <w:t xml:space="preserve"> </w:t>
      </w:r>
      <w:r>
        <w:rPr>
          <w:b/>
          <w:bCs/>
        </w:rPr>
        <w:t xml:space="preserve">release notes</w:t>
      </w:r>
      <w:r>
        <w:t xml:space="preserve"> </w:t>
      </w:r>
      <w:r>
        <w:t xml:space="preserve">see the corresponding</w:t>
      </w:r>
      <w:r>
        <w:t xml:space="preserve"> </w:t>
      </w:r>
      <w:hyperlink r:id="rId20">
        <w:r>
          <w:rPr>
            <w:rStyle w:val="Hyperlink"/>
          </w:rPr>
          <w:t xml:space="preserve">GitHub</w:t>
        </w:r>
      </w:hyperlink>
      <w:r>
        <w:t xml:space="preserve"> </w:t>
      </w:r>
      <w:r>
        <w:t xml:space="preserve">page</w:t>
      </w:r>
    </w:p>
    <w:bookmarkStart w:id="23" w:name="data-preparation"/>
    <w:p>
      <w:pPr>
        <w:pStyle w:val="Heading1"/>
      </w:pPr>
      <w:r>
        <w:t xml:space="preserve">Data Preparation</w:t>
      </w:r>
    </w:p>
    <w:bookmarkStart w:id="21" w:name="train-test-split-for-inference"/>
    <w:p>
      <w:pPr>
        <w:pStyle w:val="Heading2"/>
      </w:pPr>
      <w:r>
        <w:t xml:space="preserve">Train Test Split for Inference</w:t>
      </w:r>
    </w:p>
    <w:p>
      <w:pPr>
        <w:pStyle w:val="FirstParagraph"/>
      </w:pPr>
      <w:r>
        <w:t xml:space="preserve">Data was split into training and test sets (50/50) for hypothesis testing to ensure valid inference after feature selection.</w:t>
      </w:r>
    </w:p>
    <w:bookmarkEnd w:id="21"/>
    <w:bookmarkStart w:id="22" w:name="missing-values"/>
    <w:p>
      <w:pPr>
        <w:pStyle w:val="Heading2"/>
      </w:pPr>
      <w:r>
        <w:t xml:space="preserve">Missing Values</w:t>
      </w:r>
    </w:p>
    <w:p>
      <w:pPr>
        <w:pStyle w:val="FirstParagraph"/>
      </w:pPr>
      <w:r>
        <w:t xml:space="preserve">Missing value imputation was performed using MissForest doi:10.1093/bioinformatics/btr597. This method leverages conditional dependencies between variables to predict missing values through an iterative random forest approach.</w:t>
      </w:r>
    </w:p>
    <w:p>
      <w:pPr>
        <w:pStyle w:val="BodyText"/>
      </w:pPr>
      <w:r>
        <w:t xml:space="preserve">To avoid introducing spurious correlations between different variable sets, we imputed the following data groups separately:</w:t>
      </w:r>
    </w:p>
    <w:p>
      <w:pPr>
        <w:pStyle w:val="Compact"/>
        <w:numPr>
          <w:ilvl w:val="0"/>
          <w:numId w:val="1001"/>
        </w:numPr>
      </w:pPr>
      <w:r>
        <w:t xml:space="preserve">PRS variables on the complete dataset</w:t>
      </w:r>
    </w:p>
    <w:p>
      <w:pPr>
        <w:pStyle w:val="Compact"/>
        <w:numPr>
          <w:ilvl w:val="0"/>
          <w:numId w:val="1001"/>
        </w:numPr>
      </w:pPr>
      <w:r>
        <w:t xml:space="preserve">Mediators on training data only</w:t>
      </w:r>
    </w:p>
    <w:p>
      <w:pPr>
        <w:pStyle w:val="Compact"/>
        <w:numPr>
          <w:ilvl w:val="0"/>
          <w:numId w:val="1001"/>
        </w:numPr>
      </w:pPr>
      <w:r>
        <w:t xml:space="preserve">GIS variables on training data only</w:t>
      </w:r>
    </w:p>
    <w:p>
      <w:pPr>
        <w:pStyle w:val="Compact"/>
        <w:numPr>
          <w:ilvl w:val="0"/>
          <w:numId w:val="1001"/>
        </w:numPr>
      </w:pPr>
      <w:r>
        <w:t xml:space="preserve">Mediators for prediction analysis</w:t>
      </w:r>
    </w:p>
    <w:p>
      <w:pPr>
        <w:pStyle w:val="Compact"/>
        <w:numPr>
          <w:ilvl w:val="0"/>
          <w:numId w:val="1001"/>
        </w:numPr>
      </w:pPr>
      <w:r>
        <w:t xml:space="preserve">GIS variables for prediction analysis</w:t>
      </w:r>
    </w:p>
    <w:p>
      <w:pPr>
        <w:pStyle w:val="Compact"/>
        <w:numPr>
          <w:ilvl w:val="0"/>
          <w:numId w:val="1001"/>
        </w:numPr>
      </w:pPr>
      <w:r>
        <w:t xml:space="preserve">PRS variables for prediction analysis</w:t>
      </w:r>
    </w:p>
    <w:p>
      <w:pPr>
        <w:pStyle w:val="FirstParagraph"/>
      </w:pPr>
      <w:r>
        <w:t xml:space="preserve">Mediators and GIS variables were intentionally not imputed on the test set to maintain valid inference, as MissForest does not provide a mechanism to propagate imputation uncertainty. An alternative would be the</w:t>
      </w:r>
      <w:r>
        <w:t xml:space="preserve"> </w:t>
      </w:r>
      <w:r>
        <w:rPr>
          <w:rStyle w:val="VerbatimChar"/>
        </w:rPr>
        <w:t xml:space="preserve">mice</w:t>
      </w:r>
      <w:r>
        <w:t xml:space="preserve">-routine, which could be implemented in future analyses. Missing values in the test set predictors remained untreated, which is justified under the missing completely at random (MCAR) assumption—where missing values occur independently of all other variables.</w:t>
      </w:r>
    </w:p>
    <w:p>
      <w:pPr>
        <w:pStyle w:val="BodyText"/>
      </w:pPr>
      <w:r>
        <w:t xml:space="preserve">For the prediction analysis, fewer statistical assumptions are required, so using the MissForest approach does not violate any assumptions.</w:t>
      </w:r>
    </w:p>
    <w:p>
      <w:pPr>
        <w:pStyle w:val="BodyText"/>
      </w:pPr>
      <w:r>
        <w:t xml:space="preserve">PRS variables could have been imputed separately for training/test sets and prediction analysis, but we prioritized simplicity as these variables serve only as response variables.</w:t>
      </w:r>
    </w:p>
    <w:p>
      <w:pPr>
        <w:pStyle w:val="BodyText"/>
      </w:pPr>
      <w:r>
        <w:t xml:space="preserve">Additionally, we compared MissForest with simpler imputation methods (variable-wise and observation-wise mean imputation) for the PRS variables. Results confirmed that MissForest consistently outperformed these alternatives.</w:t>
      </w:r>
    </w:p>
    <w:bookmarkEnd w:id="22"/>
    <w:bookmarkEnd w:id="23"/>
    <w:bookmarkStart w:id="56" w:name="main-analysis"/>
    <w:p>
      <w:pPr>
        <w:pStyle w:val="Heading1"/>
      </w:pPr>
      <w:r>
        <w:t xml:space="preserve">Main Analysis</w:t>
      </w:r>
    </w:p>
    <w:bookmarkStart w:id="24" w:name="response-variable-selection"/>
    <w:p>
      <w:pPr>
        <w:pStyle w:val="Heading2"/>
      </w:pPr>
      <w:r>
        <w:t xml:space="preserve">Response Variable Selection</w:t>
      </w:r>
    </w:p>
    <w:p>
      <w:pPr>
        <w:pStyle w:val="Compact"/>
        <w:numPr>
          <w:ilvl w:val="0"/>
          <w:numId w:val="1002"/>
        </w:numPr>
      </w:pPr>
      <w:r>
        <w:t xml:space="preserve">Aggregated mean</w:t>
      </w:r>
    </w:p>
    <w:p>
      <w:pPr>
        <w:pStyle w:val="Compact"/>
        <w:numPr>
          <w:ilvl w:val="0"/>
          <w:numId w:val="1002"/>
        </w:numPr>
      </w:pPr>
      <w:r>
        <w:t xml:space="preserve">FA (Fascination)</w:t>
      </w:r>
    </w:p>
    <w:p>
      <w:pPr>
        <w:pStyle w:val="Compact"/>
        <w:numPr>
          <w:ilvl w:val="0"/>
          <w:numId w:val="1002"/>
        </w:numPr>
      </w:pPr>
      <w:r>
        <w:t xml:space="preserve">BA (Being Away)</w:t>
      </w:r>
    </w:p>
    <w:p>
      <w:pPr>
        <w:pStyle w:val="Compact"/>
        <w:numPr>
          <w:ilvl w:val="0"/>
          <w:numId w:val="1002"/>
        </w:numPr>
      </w:pPr>
      <w:r>
        <w:t xml:space="preserve">EC (Extent Coherence)</w:t>
      </w:r>
    </w:p>
    <w:p>
      <w:pPr>
        <w:pStyle w:val="Compact"/>
        <w:numPr>
          <w:ilvl w:val="0"/>
          <w:numId w:val="1002"/>
        </w:numPr>
      </w:pPr>
      <w:r>
        <w:t xml:space="preserve">ES (Compatibility)</w:t>
      </w:r>
    </w:p>
    <w:p>
      <w:pPr>
        <w:pStyle w:val="FirstParagraph"/>
      </w:pPr>
      <w:r>
        <w:rPr>
          <w:b/>
          <w:bCs/>
        </w:rPr>
        <w:t xml:space="preserve">PCA Verification</w:t>
      </w:r>
      <w:r>
        <w:t xml:space="preserve"> </w:t>
      </w:r>
      <w:r>
        <w:t xml:space="preserve">of this approach. Key findings:</w:t>
      </w:r>
    </w:p>
    <w:p>
      <w:pPr>
        <w:pStyle w:val="Compact"/>
        <w:numPr>
          <w:ilvl w:val="0"/>
          <w:numId w:val="1003"/>
        </w:numPr>
      </w:pPr>
      <w:r>
        <w:t xml:space="preserve">Data can be well approximated with 3-4 dimensions</w:t>
      </w:r>
    </w:p>
    <w:p>
      <w:pPr>
        <w:pStyle w:val="Compact"/>
        <w:numPr>
          <w:ilvl w:val="0"/>
          <w:numId w:val="1003"/>
        </w:numPr>
      </w:pPr>
      <w:r>
        <w:t xml:space="preserve">First dimension is close to weighted average of all variables (correlation &gt;0.99)</w:t>
      </w:r>
    </w:p>
    <w:p>
      <w:pPr>
        <w:pStyle w:val="Compact"/>
        <w:numPr>
          <w:ilvl w:val="0"/>
          <w:numId w:val="1003"/>
        </w:numPr>
      </w:pPr>
      <w:r>
        <w:t xml:space="preserve">EC (Extent Coherence) shows most divergence (see PC2)</w:t>
      </w:r>
    </w:p>
    <w:p>
      <w:pPr>
        <w:pStyle w:val="Compact"/>
        <w:numPr>
          <w:ilvl w:val="0"/>
          <w:numId w:val="1003"/>
        </w:numPr>
      </w:pPr>
      <w:r>
        <w:t xml:space="preserve">FA (Fascination) and BA (Being Away) show similarity (see PC1-PC3)</w:t>
      </w:r>
    </w:p>
    <w:p>
      <w:pPr>
        <w:pStyle w:val="Compact"/>
        <w:numPr>
          <w:ilvl w:val="0"/>
          <w:numId w:val="1003"/>
        </w:numPr>
      </w:pPr>
      <w:r>
        <w:t xml:space="preserve">Aggregated PRS variables justified by PCA results (similar rotation values), supporting use of mean</w:t>
      </w:r>
    </w:p>
    <w:bookmarkEnd w:id="24"/>
    <w:bookmarkStart w:id="29" w:name="Xae0df51ba6952d89460c9934515d9093243a207"/>
    <w:p>
      <w:pPr>
        <w:pStyle w:val="Heading2"/>
      </w:pPr>
      <w:r>
        <w:t xml:space="preserve">Prediction Analysis with Machine Learning Methods</w:t>
      </w:r>
    </w:p>
    <w:p>
      <w:pPr>
        <w:pStyle w:val="FirstParagraph"/>
      </w:pPr>
      <w:r>
        <w:t xml:space="preserve">Details and results in</w:t>
      </w:r>
      <w:r>
        <w:t xml:space="preserve"> </w:t>
      </w:r>
      <w:hyperlink r:id="rId25">
        <w:r>
          <w:rPr>
            <w:rStyle w:val="Hyperlink"/>
          </w:rPr>
          <w:t xml:space="preserve">the notebook</w:t>
        </w:r>
      </w:hyperlink>
      <w:r>
        <w:t xml:space="preserve">.</w:t>
      </w:r>
    </w:p>
    <w:p>
      <w:pPr>
        <w:pStyle w:val="BodyText"/>
      </w:pPr>
      <w:r>
        <w:t xml:space="preserve">This section investigates predictive relationships between Perceived Restorativeness Scale (PRS) variables, mediator variables, and Geographical Information System (GIS) variables using various machine learning approaches. We employed a systematic methodology to quantify the predictive power of different variable combinations.</w:t>
      </w:r>
    </w:p>
    <w:bookmarkStart w:id="26" w:name="methodological-approach"/>
    <w:p>
      <w:pPr>
        <w:pStyle w:val="Heading3"/>
      </w:pPr>
      <w:r>
        <w:t xml:space="preserve">Methodological Approach</w:t>
      </w:r>
    </w:p>
    <w:p>
      <w:pPr>
        <w:pStyle w:val="FirstParagraph"/>
      </w:pPr>
      <w:r>
        <w:t xml:space="preserve">We evaluated multiple machine learning models using the mlr3 framework (cite doi:10.21105/joss.01903) :</w:t>
      </w:r>
    </w:p>
    <w:p>
      <w:pPr>
        <w:pStyle w:val="Compact"/>
        <w:numPr>
          <w:ilvl w:val="0"/>
          <w:numId w:val="1004"/>
        </w:numPr>
      </w:pPr>
      <w:r>
        <w:t xml:space="preserve">Linear models (baseline)</w:t>
      </w:r>
    </w:p>
    <w:p>
      <w:pPr>
        <w:pStyle w:val="Compact"/>
        <w:numPr>
          <w:ilvl w:val="0"/>
          <w:numId w:val="1004"/>
        </w:numPr>
      </w:pPr>
      <w:r>
        <w:t xml:space="preserve">XGBoost (gradient boosting with tree-based models and hyperparameter tuning for learning rate and tree depth) (cite arxiv:1603.02754)</w:t>
      </w:r>
    </w:p>
    <w:p>
      <w:pPr>
        <w:pStyle w:val="Compact"/>
        <w:numPr>
          <w:ilvl w:val="0"/>
          <w:numId w:val="1004"/>
        </w:numPr>
      </w:pPr>
      <w:r>
        <w:t xml:space="preserve">Random Forests (with default parameters) (cite doi:10.1023/A:1010933404324)</w:t>
      </w:r>
    </w:p>
    <w:p>
      <w:pPr>
        <w:pStyle w:val="FirstParagraph"/>
      </w:pPr>
      <w:r>
        <w:t xml:space="preserve">Performance was measured as percentage of explained variance on hold-out data, calculated as (1 - MSE/Variance(y)), where MSE represents mean squared error.</w:t>
      </w:r>
    </w:p>
    <w:bookmarkEnd w:id="26"/>
    <w:bookmarkStart w:id="27" w:name="model-combinations"/>
    <w:p>
      <w:pPr>
        <w:pStyle w:val="Heading3"/>
      </w:pPr>
      <w:r>
        <w:t xml:space="preserve">Model Combinations</w:t>
      </w:r>
    </w:p>
    <w:p>
      <w:pPr>
        <w:pStyle w:val="FirstParagraph"/>
      </w:pPr>
      <w:r>
        <w:t xml:space="preserve">To systematically explore predictive relationships, we tested four model configurations:</w:t>
      </w:r>
    </w:p>
    <w:p>
      <w:pPr>
        <w:pStyle w:val="Compact"/>
        <w:numPr>
          <w:ilvl w:val="0"/>
          <w:numId w:val="1005"/>
        </w:numPr>
      </w:pPr>
      <w:r>
        <w:t xml:space="preserve">PRS ~ GIS: Predicting PRS variables using only GIS variables</w:t>
      </w:r>
    </w:p>
    <w:p>
      <w:pPr>
        <w:pStyle w:val="Compact"/>
        <w:numPr>
          <w:ilvl w:val="0"/>
          <w:numId w:val="1005"/>
        </w:numPr>
      </w:pPr>
      <w:r>
        <w:t xml:space="preserve">PRS ~ GIS + Mediators: Predicting PRS variables using both GIS and mediator variables</w:t>
      </w:r>
    </w:p>
    <w:p>
      <w:pPr>
        <w:pStyle w:val="Compact"/>
        <w:numPr>
          <w:ilvl w:val="0"/>
          <w:numId w:val="1005"/>
        </w:numPr>
      </w:pPr>
      <w:r>
        <w:t xml:space="preserve">PRS ~ Mediators: Predicting PRS variables using only mediator variables</w:t>
      </w:r>
    </w:p>
    <w:p>
      <w:pPr>
        <w:pStyle w:val="Compact"/>
        <w:numPr>
          <w:ilvl w:val="0"/>
          <w:numId w:val="1005"/>
        </w:numPr>
      </w:pPr>
      <w:r>
        <w:t xml:space="preserve">Mediators ~ GIS: Predicting mediator variables using GIS variables</w:t>
      </w:r>
    </w:p>
    <w:bookmarkEnd w:id="27"/>
    <w:bookmarkStart w:id="28" w:name="results"/>
    <w:p>
      <w:pPr>
        <w:pStyle w:val="Heading3"/>
      </w:pPr>
      <w:r>
        <w:t xml:space="preserve">Results</w:t>
      </w:r>
    </w:p>
    <w:p>
      <w:pPr>
        <w:pStyle w:val="Compact"/>
        <w:numPr>
          <w:ilvl w:val="0"/>
          <w:numId w:val="1006"/>
        </w:numPr>
      </w:pPr>
      <w:r>
        <w:t xml:space="preserve">GIS shows limited predictive power for PRS on ES (5% variance explained)</w:t>
      </w:r>
    </w:p>
    <w:p>
      <w:pPr>
        <w:pStyle w:val="Compact"/>
        <w:numPr>
          <w:ilvl w:val="0"/>
          <w:numId w:val="1006"/>
        </w:numPr>
      </w:pPr>
      <w:r>
        <w:t xml:space="preserve">GIS + Mediators explain 25% of PRS variance</w:t>
      </w:r>
    </w:p>
    <w:p>
      <w:pPr>
        <w:pStyle w:val="Compact"/>
        <w:numPr>
          <w:ilvl w:val="0"/>
          <w:numId w:val="1006"/>
        </w:numPr>
      </w:pPr>
      <w:r>
        <w:t xml:space="preserve">Mediators alone explain majority of PRS variance</w:t>
      </w:r>
    </w:p>
    <w:p>
      <w:pPr>
        <w:pStyle w:val="Compact"/>
        <w:numPr>
          <w:ilvl w:val="1"/>
          <w:numId w:val="1007"/>
        </w:numPr>
      </w:pPr>
      <w:r>
        <w:t xml:space="preserve">GIS primarily helps with ES through tree-based methods</w:t>
      </w:r>
    </w:p>
    <w:p>
      <w:pPr>
        <w:pStyle w:val="Compact"/>
        <w:numPr>
          <w:ilvl w:val="1"/>
          <w:numId w:val="1007"/>
        </w:numPr>
      </w:pPr>
      <w:r>
        <w:t xml:space="preserve">Suggests GIS effect is more interaction-based than direct</w:t>
      </w:r>
    </w:p>
    <w:p>
      <w:pPr>
        <w:pStyle w:val="Compact"/>
        <w:numPr>
          <w:ilvl w:val="1"/>
          <w:numId w:val="1007"/>
        </w:numPr>
      </w:pPr>
      <w:r>
        <w:t xml:space="preserve">Similar reduction in tree-based methods observed in BA</w:t>
      </w:r>
    </w:p>
    <w:bookmarkEnd w:id="28"/>
    <w:bookmarkEnd w:id="29"/>
    <w:bookmarkStart w:id="36" w:name="X3ac8babbb75ac2056cc43019084c3d83cec5f6d"/>
    <w:p>
      <w:pPr>
        <w:pStyle w:val="Heading2"/>
      </w:pPr>
      <w:r>
        <w:t xml:space="preserve">Hypothesis Testing: Investigation of Variable Effects on Perceived Restorativeness Scale</w:t>
      </w:r>
    </w:p>
    <w:p>
      <w:pPr>
        <w:pStyle w:val="FirstParagraph"/>
      </w:pPr>
      <w:r>
        <w:t xml:space="preserve">Details and results in</w:t>
      </w:r>
      <w:r>
        <w:t xml:space="preserve"> </w:t>
      </w:r>
      <w:hyperlink r:id="rId30">
        <w:r>
          <w:rPr>
            <w:rStyle w:val="Hyperlink"/>
          </w:rPr>
          <w:t xml:space="preserve">the notebook</w:t>
        </w:r>
      </w:hyperlink>
      <w:r>
        <w:t xml:space="preserve">.</w:t>
      </w:r>
    </w:p>
    <w:p>
      <w:pPr>
        <w:pStyle w:val="BodyText"/>
      </w:pPr>
      <w:r>
        <w:t xml:space="preserve">Here we investigated which variables (including their interactions) influence PRS variables using multiple linear regression. With 190 variables (counting interactions), the variance inflation factor (VIF) was high and the multiple testing problem severe. We therefore implemented a stepwise feature selection using Bayesian Information Criterion (BIC) on the training data, starting with an empty model to help computational complexity. Selected features were subsequently used to fit models on the test set to obtain valid p-values. To keep the coefficients interpretable in the presence of interactions, each variable is scaled to mean 0 and standard deviation 1.</w:t>
      </w:r>
    </w:p>
    <w:bookmarkStart w:id="31" w:name="model-specification-and-analysis"/>
    <w:p>
      <w:pPr>
        <w:pStyle w:val="Heading3"/>
      </w:pPr>
      <w:r>
        <w:t xml:space="preserve">Model Specification and Analysis</w:t>
      </w:r>
    </w:p>
    <w:p>
      <w:pPr>
        <w:pStyle w:val="FirstParagraph"/>
      </w:pPr>
      <w:r>
        <w:t xml:space="preserve">The analysis systematically explored two key relationship pathways:</w:t>
      </w:r>
    </w:p>
    <w:p>
      <w:pPr>
        <w:pStyle w:val="Compact"/>
        <w:numPr>
          <w:ilvl w:val="0"/>
          <w:numId w:val="1008"/>
        </w:numPr>
      </w:pPr>
      <w:r>
        <w:t xml:space="preserve">Mediators ~ (GIS)² - examining how environmental features predict psychological mediators</w:t>
      </w:r>
    </w:p>
    <w:p>
      <w:pPr>
        <w:pStyle w:val="Compact"/>
        <w:numPr>
          <w:ilvl w:val="0"/>
          <w:numId w:val="1008"/>
        </w:numPr>
      </w:pPr>
      <w:r>
        <w:t xml:space="preserve">PRS ~ (Mediators + GIS)² - investigating how both environmental features and psychological mediators contribute to perceived restorativeness</w:t>
      </w:r>
    </w:p>
    <w:p>
      <w:pPr>
        <w:pStyle w:val="FirstParagraph"/>
      </w:pPr>
      <w:r>
        <w:t xml:space="preserve">For each target variable, we constructed a separate model using stepwise selection and evaluated it on the test dataset.</w:t>
      </w:r>
    </w:p>
    <w:bookmarkEnd w:id="31"/>
    <w:bookmarkStart w:id="35" w:name="results-1"/>
    <w:p>
      <w:pPr>
        <w:pStyle w:val="Heading3"/>
      </w:pPr>
      <w:r>
        <w:t xml:space="preserve">Results</w:t>
      </w:r>
    </w:p>
    <w:p>
      <w:pPr>
        <w:pStyle w:val="Compact"/>
        <w:numPr>
          <w:ilvl w:val="0"/>
          <w:numId w:val="1009"/>
        </w:numPr>
      </w:pPr>
      <w:r>
        <w:t xml:space="preserve">For HM_Noise (now removed): Continuous mediator outperforms categorical (scaled to mean 0, sd 1)</w:t>
      </w:r>
    </w:p>
    <w:p>
      <w:pPr>
        <w:pStyle w:val="Compact"/>
        <w:numPr>
          <w:ilvl w:val="0"/>
          <w:numId w:val="1009"/>
        </w:numPr>
      </w:pPr>
      <w:r>
        <w:t xml:space="preserve">Full</w:t>
      </w:r>
      <w:r>
        <w:t xml:space="preserve"> </w:t>
      </w:r>
      <w:r>
        <w:rPr>
          <w:rStyle w:val="VerbatimChar"/>
        </w:rPr>
        <w:t xml:space="preserve">mice</w:t>
      </w:r>
      <w:r>
        <w:t xml:space="preserve"> </w:t>
      </w:r>
      <w:r>
        <w:t xml:space="preserve">NA-handling likely unnecessary</w:t>
      </w:r>
    </w:p>
    <w:p>
      <w:pPr>
        <w:pStyle w:val="Compact"/>
        <w:numPr>
          <w:ilvl w:val="1"/>
          <w:numId w:val="1010"/>
        </w:numPr>
      </w:pPr>
      <w:r>
        <w:t xml:space="preserve">Models use few variables</w:t>
      </w:r>
    </w:p>
    <w:p>
      <w:pPr>
        <w:pStyle w:val="Compact"/>
        <w:numPr>
          <w:ilvl w:val="1"/>
          <w:numId w:val="1010"/>
        </w:numPr>
      </w:pPr>
      <w:r>
        <w:t xml:space="preserve">Only LNOISE shows high NA count</w:t>
      </w:r>
    </w:p>
    <w:p>
      <w:pPr>
        <w:pStyle w:val="Compact"/>
        <w:numPr>
          <w:ilvl w:val="1"/>
          <w:numId w:val="1010"/>
        </w:numPr>
      </w:pPr>
      <w:r>
        <w:t xml:space="preserve">Information detection still fails</w:t>
      </w:r>
    </w:p>
    <w:p>
      <w:pPr>
        <w:pStyle w:val="Compact"/>
        <w:numPr>
          <w:ilvl w:val="0"/>
          <w:numId w:val="1009"/>
        </w:numPr>
      </w:pPr>
      <w:r>
        <w:t xml:space="preserve">Significant edges remain in SEM (see all interactions)</w:t>
      </w:r>
    </w:p>
    <w:bookmarkStart w:id="33" w:name="all-interactions-mediators-gis2"/>
    <w:p>
      <w:pPr>
        <w:pStyle w:val="Heading4"/>
      </w:pPr>
      <w:r>
        <w:t xml:space="preserve">All Interactions: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pct" w:w="5000"/>
        <w:tblLayout w:type="fixed"/>
        <w:tblLook w:firstRow="1" w:lastRow="0" w:firstColumn="0" w:lastColumn="0" w:noHBand="0" w:noVBand="0" w:val="0020"/>
      </w:tblPr>
      <w:tblGrid>
        <w:gridCol w:w="1599"/>
        <w:gridCol w:w="761"/>
        <w:gridCol w:w="837"/>
        <w:gridCol w:w="761"/>
        <w:gridCol w:w="837"/>
        <w:gridCol w:w="761"/>
        <w:gridCol w:w="761"/>
        <w:gridCol w:w="761"/>
        <w:gridCol w:w="837"/>
      </w:tblGrid>
      <w:tr>
        <w:trPr>
          <w:tblHeader w:val="on"/>
        </w:trPr>
        <w:tc>
          <w:tcPr/>
          <w:p>
            <w:pPr>
              <w:pStyle w:val="Compact"/>
              <w:jc w:val="left"/>
            </w:pPr>
            <w:r>
              <w:t xml:space="preserve">Covariate</w:t>
            </w:r>
          </w:p>
        </w:tc>
        <w:tc>
          <w:tcPr/>
          <w:p>
            <w:pPr>
              <w:pStyle w:val="Compact"/>
              <w:jc w:val="center"/>
            </w:pPr>
            <w:r>
              <w:t xml:space="preserve">FEELNAT</w:t>
            </w:r>
          </w:p>
        </w:tc>
        <w:tc>
          <w:tcPr/>
          <w:p>
            <w:pPr>
              <w:pStyle w:val="Compact"/>
              <w:jc w:val="center"/>
            </w:pPr>
            <w:r>
              <w:t xml:space="preserve">LNOISE</w:t>
            </w:r>
          </w:p>
        </w:tc>
        <w:tc>
          <w:tcPr/>
          <w:p>
            <w:pPr>
              <w:pStyle w:val="Compact"/>
              <w:jc w:val="center"/>
            </w:pPr>
            <w:r>
              <w:t xml:space="preserve">LOC_SENS</w:t>
            </w:r>
          </w:p>
        </w:tc>
        <w:tc>
          <w:tcPr/>
          <w:p>
            <w:pPr>
              <w:pStyle w:val="Compact"/>
              <w:jc w:val="center"/>
            </w:pPr>
            <w:r>
              <w:t xml:space="preserve">LOC_SOUN</w:t>
            </w:r>
          </w:p>
        </w:tc>
        <w:tc>
          <w:tcPr/>
          <w:p>
            <w:pPr>
              <w:pStyle w:val="Compact"/>
              <w:jc w:val="center"/>
            </w:pPr>
            <w:r>
              <w:t xml:space="preserve">LOC_SCEN</w:t>
            </w:r>
          </w:p>
        </w:tc>
        <w:tc>
          <w:tcPr/>
          <w:p>
            <w:pPr>
              <w:pStyle w:val="Compact"/>
              <w:jc w:val="center"/>
            </w:pPr>
            <w:r>
              <w:t xml:space="preserve">LOC_VISE</w:t>
            </w:r>
          </w:p>
        </w:tc>
        <w:tc>
          <w:tcPr/>
          <w:p>
            <w:pPr>
              <w:pStyle w:val="Compact"/>
              <w:jc w:val="center"/>
            </w:pPr>
            <w:r>
              <w:t xml:space="preserve">LOC_VEGE</w:t>
            </w:r>
          </w:p>
        </w:tc>
        <w:tc>
          <w:tcPr/>
          <w:p>
            <w:pPr>
              <w:pStyle w:val="Compact"/>
              <w:jc w:val="center"/>
            </w:pPr>
            <w:r>
              <w:t xml:space="preserve">LOC_FAUN</w:t>
            </w:r>
          </w:p>
        </w:tc>
      </w:tr>
      <w:tr>
        <w:tc>
          <w:tcPr/>
          <w:p>
            <w:pPr>
              <w:pStyle w:val="Compact"/>
              <w:jc w:val="left"/>
            </w:pPr>
            <w:r>
              <w:t xml:space="preserve">(Intercept)</w:t>
            </w:r>
          </w:p>
        </w:tc>
        <w:tc>
          <w:tcPr/>
          <w:p>
            <w:pPr>
              <w:pStyle w:val="Compact"/>
              <w:jc w:val="center"/>
            </w:pPr>
            <w:r>
              <w:t xml:space="preserve">0.062</w:t>
            </w:r>
          </w:p>
        </w:tc>
        <w:tc>
          <w:tcPr/>
          <w:p>
            <w:pPr>
              <w:pStyle w:val="Compact"/>
              <w:jc w:val="center"/>
            </w:pPr>
            <w:r>
              <w:t xml:space="preserve">-0.001</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-0.001</w:t>
            </w:r>
          </w:p>
        </w:tc>
        <w:tc>
          <w:tcPr/>
          <w:p>
            <w:pPr>
              <w:pStyle w:val="Compact"/>
              <w:jc w:val="center"/>
            </w:pPr>
            <w:r>
              <w:t xml:space="preserve">-0.000</w:t>
            </w:r>
          </w:p>
        </w:tc>
        <w:tc>
          <w:tcPr/>
          <w:p>
            <w:pPr>
              <w:pStyle w:val="Compact"/>
              <w:jc w:val="center"/>
            </w:pPr>
            <w:r>
              <w:t xml:space="preserve">-0.019</w:t>
            </w:r>
          </w:p>
        </w:tc>
        <w:tc>
          <w:tcPr/>
          <w:p>
            <w:pPr>
              <w:pStyle w:val="Compact"/>
              <w:jc w:val="center"/>
            </w:pPr>
            <w:r>
              <w:t xml:space="preserve">-0.001</w:t>
            </w:r>
          </w:p>
        </w:tc>
      </w:tr>
      <w:tr>
        <w:tc>
          <w:tcPr/>
          <w:p>
            <w:pPr>
              <w:pStyle w:val="Compact"/>
              <w:jc w:val="left"/>
            </w:pPr>
            <w:r>
              <w:t xml:space="preserve">HETER</w:t>
            </w:r>
          </w:p>
        </w:tc>
        <w:tc>
          <w:tcPr/>
          <w:p>
            <w:pPr>
              <w:pStyle w:val="Compact"/>
            </w:pPr>
          </w:p>
        </w:tc>
        <w:tc>
          <w:tcPr/>
          <w:p>
            <w:pPr>
              <w:pStyle w:val="Compact"/>
            </w:pPr>
          </w:p>
        </w:tc>
        <w:tc>
          <w:tcPr/>
          <w:p>
            <w:pPr>
              <w:pStyle w:val="Compact"/>
              <w:jc w:val="center"/>
            </w:pPr>
            <w:r>
              <w:t xml:space="preserve">0.130***</w:t>
            </w:r>
          </w:p>
        </w:tc>
        <w:tc>
          <w:tcPr/>
          <w:p>
            <w:pPr>
              <w:pStyle w:val="Compact"/>
              <w:jc w:val="center"/>
            </w:pPr>
            <w:r>
              <w:t xml:space="preserve">0.109**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JNYTIME_sqrt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-0.114**</w:t>
            </w:r>
          </w:p>
        </w:tc>
        <w:tc>
          <w:tcPr/>
          <w:p>
            <w:pPr>
              <w:pStyle w:val="Compact"/>
            </w:pPr>
          </w:p>
        </w:tc>
      </w:tr>
      <w:tr>
        <w:tc>
          <w:tcPr/>
          <w:p>
            <w:pPr>
              <w:pStyle w:val="Compact"/>
              <w:jc w:val="left"/>
            </w:pPr>
            <w:r>
              <w:t xml:space="preserve">LCARTIF_sqrt</w:t>
            </w:r>
          </w:p>
        </w:tc>
        <w:tc>
          <w:tcPr/>
          <w:p>
            <w:pPr>
              <w:pStyle w:val="Compact"/>
              <w:jc w:val="center"/>
            </w:pPr>
            <w:r>
              <w:t xml:space="preserve">-0.152**</w:t>
            </w:r>
          </w:p>
        </w:tc>
        <w:tc>
          <w:tcPr/>
          <w:p>
            <w:pPr>
              <w:pStyle w:val="Compact"/>
              <w:jc w:val="center"/>
            </w:pPr>
            <w:r>
              <w:t xml:space="preserve">-0.124*</w:t>
            </w:r>
          </w:p>
        </w:tc>
        <w:tc>
          <w:tcPr/>
          <w:p>
            <w:pPr>
              <w:pStyle w:val="Compact"/>
            </w:pPr>
          </w:p>
        </w:tc>
        <w:tc>
          <w:tcPr/>
          <w:p>
            <w:pPr>
              <w:pStyle w:val="Compact"/>
              <w:jc w:val="center"/>
            </w:pPr>
            <w:r>
              <w:t xml:space="preserve">-0.175***</w:t>
            </w:r>
          </w:p>
        </w:tc>
        <w:tc>
          <w:tcPr/>
          <w:p>
            <w:pPr>
              <w:pStyle w:val="Compact"/>
            </w:pPr>
          </w:p>
        </w:tc>
        <w:tc>
          <w:tcPr/>
          <w:p>
            <w:pPr>
              <w:pStyle w:val="Compact"/>
              <w:jc w:val="center"/>
            </w:pPr>
            <w:r>
              <w:t xml:space="preserve">-0.071.</w:t>
            </w:r>
          </w:p>
        </w:tc>
        <w:tc>
          <w:tcPr/>
          <w:p>
            <w:pPr>
              <w:pStyle w:val="Compact"/>
            </w:pPr>
          </w:p>
        </w:tc>
        <w:tc>
          <w:tcPr/>
          <w:p>
            <w:pPr>
              <w:pStyle w:val="Compact"/>
              <w:jc w:val="center"/>
            </w:pPr>
            <w:r>
              <w:t xml:space="preserve">-0.214***</w:t>
            </w:r>
          </w:p>
        </w:tc>
      </w:tr>
      <w:tr>
        <w:tc>
          <w:tcPr/>
          <w:p>
            <w:pPr>
              <w:pStyle w:val="Compact"/>
              <w:jc w:val="left"/>
            </w:pPr>
            <w:r>
              <w:t xml:space="preserve">LCARTIF_sqrt:RL_NDVI</w:t>
            </w:r>
          </w:p>
        </w:tc>
        <w:tc>
          <w:tcPr/>
          <w:p>
            <w:pPr>
              <w:pStyle w:val="Compact"/>
              <w:jc w:val="center"/>
            </w:pPr>
            <w:r>
              <w:t xml:space="preserve">0.115**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OVDIST_sqrt</w:t>
            </w:r>
          </w:p>
        </w:tc>
        <w:tc>
          <w:tcPr/>
          <w:p>
            <w:pPr>
              <w:pStyle w:val="Compact"/>
              <w:jc w:val="center"/>
            </w:pPr>
            <w:r>
              <w:t xml:space="preserve">0.027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RL_NDVI</w:t>
            </w:r>
          </w:p>
        </w:tc>
        <w:tc>
          <w:tcPr/>
          <w:p>
            <w:pPr>
              <w:pStyle w:val="Compact"/>
              <w:jc w:val="center"/>
            </w:pPr>
            <w:r>
              <w:t xml:space="preserve">0.150***</w:t>
            </w:r>
          </w:p>
        </w:tc>
        <w:tc>
          <w:tcPr/>
          <w:p>
            <w:pPr>
              <w:pStyle w:val="Compact"/>
            </w:pPr>
          </w:p>
        </w:tc>
        <w:tc>
          <w:tcPr/>
          <w:p>
            <w:pPr>
              <w:pStyle w:val="Compact"/>
            </w:pPr>
          </w:p>
        </w:tc>
        <w:tc>
          <w:tcPr/>
          <w:p>
            <w:pPr>
              <w:pStyle w:val="Compact"/>
            </w:pPr>
          </w:p>
        </w:tc>
        <w:tc>
          <w:tcPr/>
          <w:p>
            <w:pPr>
              <w:pStyle w:val="Compact"/>
              <w:jc w:val="center"/>
            </w:pPr>
            <w:r>
              <w:t xml:space="preserve">0.217***</w:t>
            </w:r>
          </w:p>
        </w:tc>
        <w:tc>
          <w:tcPr/>
          <w:p>
            <w:pPr>
              <w:pStyle w:val="Compact"/>
            </w:pPr>
          </w:p>
        </w:tc>
        <w:tc>
          <w:tcPr/>
          <w:p>
            <w:pPr>
              <w:pStyle w:val="Compact"/>
              <w:jc w:val="center"/>
            </w:pPr>
            <w:r>
              <w:t xml:space="preserve">0.219***</w:t>
            </w:r>
          </w:p>
        </w:tc>
        <w:tc>
          <w:tcPr/>
          <w:p>
            <w:pPr>
              <w:pStyle w:val="Compact"/>
            </w:pPr>
          </w:p>
        </w:tc>
      </w:tr>
      <w:tr>
        <w:tc>
          <w:tcPr/>
          <w:p>
            <w:pPr>
              <w:pStyle w:val="Compact"/>
              <w:jc w:val="left"/>
            </w:pPr>
            <w:r>
              <w:t xml:space="preserve">RL_NOISE</w:t>
            </w:r>
          </w:p>
        </w:tc>
        <w:tc>
          <w:tcPr/>
          <w:p>
            <w:pPr>
              <w:pStyle w:val="Compact"/>
            </w:pPr>
          </w:p>
        </w:tc>
        <w:tc>
          <w:tcPr/>
          <w:p>
            <w:pPr>
              <w:pStyle w:val="Compact"/>
              <w:jc w:val="center"/>
            </w:pPr>
            <w:r>
              <w:t xml:space="preserve">-0.242***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STRIMP999_sqrt</w:t>
            </w:r>
          </w:p>
        </w:tc>
        <w:tc>
          <w:tcPr/>
          <w:p>
            <w:pPr>
              <w:pStyle w:val="Compact"/>
            </w:pPr>
          </w:p>
        </w:tc>
        <w:tc>
          <w:tcPr/>
          <w:p>
            <w:pPr>
              <w:pStyle w:val="Compact"/>
            </w:pPr>
          </w:p>
        </w:tc>
        <w:tc>
          <w:tcPr/>
          <w:p>
            <w:pPr>
              <w:pStyle w:val="Compact"/>
              <w:jc w:val="center"/>
            </w:pPr>
            <w:r>
              <w:t xml:space="preserve">-0.073.</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prs-mediators-gis2"/>
    <w:p>
      <w:pPr>
        <w:pStyle w:val="Heading4"/>
      </w:pPr>
      <w:r>
        <w:t xml:space="preserve">PRS ~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pct" w:w="5000"/>
        <w:tblLayout w:type="fixed"/>
        <w:tblLook w:firstRow="1" w:lastRow="0" w:firstColumn="0" w:lastColumn="0" w:noHBand="0" w:noVBand="0" w:val="0020"/>
      </w:tblPr>
      <w:tblGrid>
        <w:gridCol w:w="1980"/>
        <w:gridCol w:w="1164"/>
        <w:gridCol w:w="1281"/>
        <w:gridCol w:w="1164"/>
        <w:gridCol w:w="1164"/>
        <w:gridCol w:w="1164"/>
      </w:tblGrid>
      <w:tr>
        <w:trPr>
          <w:tblHeader w:val="on"/>
        </w:trPr>
        <w:tc>
          <w:tcPr/>
          <w:p>
            <w:pPr>
              <w:pStyle w:val="Compact"/>
              <w:jc w:val="left"/>
            </w:pPr>
            <w:r>
              <w:t xml:space="preserve">Covariate</w:t>
            </w:r>
          </w:p>
        </w:tc>
        <w:tc>
          <w:tcPr/>
          <w:p>
            <w:pPr>
              <w:pStyle w:val="Compact"/>
              <w:jc w:val="center"/>
            </w:pPr>
            <w:r>
              <w:t xml:space="preserve">MEAN</w:t>
            </w:r>
          </w:p>
        </w:tc>
        <w:tc>
          <w:tcPr/>
          <w:p>
            <w:pPr>
              <w:pStyle w:val="Compact"/>
              <w:jc w:val="center"/>
            </w:pPr>
            <w:r>
              <w:t xml:space="preserve">FA</w:t>
            </w:r>
          </w:p>
        </w:tc>
        <w:tc>
          <w:tcPr/>
          <w:p>
            <w:pPr>
              <w:pStyle w:val="Compact"/>
              <w:jc w:val="center"/>
            </w:pPr>
            <w:r>
              <w:t xml:space="preserve">BA</w:t>
            </w:r>
          </w:p>
        </w:tc>
        <w:tc>
          <w:tcPr/>
          <w:p>
            <w:pPr>
              <w:pStyle w:val="Compact"/>
              <w:jc w:val="center"/>
            </w:pPr>
            <w:r>
              <w:t xml:space="preserve">EC</w:t>
            </w:r>
          </w:p>
        </w:tc>
        <w:tc>
          <w:tcPr/>
          <w:p>
            <w:pPr>
              <w:pStyle w:val="Compact"/>
              <w:jc w:val="center"/>
            </w:pPr>
            <w:r>
              <w:t xml:space="preserve">ES</w:t>
            </w:r>
          </w:p>
        </w:tc>
      </w:tr>
      <w:tr>
        <w:tc>
          <w:tcPr/>
          <w:p>
            <w:pPr>
              <w:pStyle w:val="Compact"/>
              <w:jc w:val="left"/>
            </w:pPr>
            <w:r>
              <w:t xml:space="preserve">(Intercept)</w:t>
            </w:r>
          </w:p>
        </w:tc>
        <w:tc>
          <w:tcPr/>
          <w:p>
            <w:pPr>
              <w:pStyle w:val="Compact"/>
              <w:jc w:val="center"/>
            </w:pPr>
            <w:r>
              <w:t xml:space="preserve">-0.008</w:t>
            </w:r>
          </w:p>
        </w:tc>
        <w:tc>
          <w:tcPr/>
          <w:p>
            <w:pPr>
              <w:pStyle w:val="Compact"/>
              <w:jc w:val="center"/>
            </w:pPr>
            <w:r>
              <w:t xml:space="preserve">-0.003</w:t>
            </w:r>
          </w:p>
        </w:tc>
        <w:tc>
          <w:tcPr/>
          <w:p>
            <w:pPr>
              <w:pStyle w:val="Compact"/>
              <w:jc w:val="center"/>
            </w:pPr>
            <w:r>
              <w:t xml:space="preserve">-0.008</w:t>
            </w:r>
          </w:p>
        </w:tc>
        <w:tc>
          <w:tcPr/>
          <w:p>
            <w:pPr>
              <w:pStyle w:val="Compact"/>
              <w:jc w:val="center"/>
            </w:pPr>
            <w:r>
              <w:t xml:space="preserve">-0.009</w:t>
            </w:r>
          </w:p>
        </w:tc>
        <w:tc>
          <w:tcPr/>
          <w:p>
            <w:pPr>
              <w:pStyle w:val="Compact"/>
              <w:jc w:val="center"/>
            </w:pPr>
            <w:r>
              <w:t xml:space="preserve">0.031</w:t>
            </w:r>
          </w:p>
        </w:tc>
      </w:tr>
      <w:tr>
        <w:tc>
          <w:tcPr/>
          <w:p>
            <w:pPr>
              <w:pStyle w:val="Compact"/>
              <w:jc w:val="left"/>
            </w:pPr>
            <w:r>
              <w:t xml:space="preserve">DISTKM_sqrt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0.081*</w:t>
            </w:r>
          </w:p>
        </w:tc>
      </w:tr>
      <w:tr>
        <w:tc>
          <w:tcPr/>
          <w:p>
            <w:pPr>
              <w:pStyle w:val="Compact"/>
              <w:jc w:val="left"/>
            </w:pPr>
            <w:r>
              <w:t xml:space="preserve">FEELNAT</w:t>
            </w:r>
          </w:p>
        </w:tc>
        <w:tc>
          <w:tcPr/>
          <w:p>
            <w:pPr>
              <w:pStyle w:val="Compact"/>
              <w:jc w:val="center"/>
            </w:pPr>
            <w:r>
              <w:t xml:space="preserve">0.202***</w:t>
            </w:r>
          </w:p>
        </w:tc>
        <w:tc>
          <w:tcPr/>
          <w:p>
            <w:pPr>
              <w:pStyle w:val="Compact"/>
              <w:jc w:val="center"/>
            </w:pPr>
            <w:r>
              <w:t xml:space="preserve">0.169***</w:t>
            </w:r>
          </w:p>
        </w:tc>
        <w:tc>
          <w:tcPr/>
          <w:p>
            <w:pPr>
              <w:pStyle w:val="Compact"/>
              <w:jc w:val="center"/>
            </w:pPr>
            <w:r>
              <w:t xml:space="preserve">0.188***</w:t>
            </w:r>
          </w:p>
        </w:tc>
        <w:tc>
          <w:tcPr/>
          <w:p>
            <w:pPr>
              <w:pStyle w:val="Compact"/>
            </w:pPr>
          </w:p>
        </w:tc>
        <w:tc>
          <w:tcPr/>
          <w:p>
            <w:pPr>
              <w:pStyle w:val="Compact"/>
              <w:jc w:val="center"/>
            </w:pPr>
            <w:r>
              <w:t xml:space="preserve">0.258***</w:t>
            </w:r>
          </w:p>
        </w:tc>
      </w:tr>
      <w:tr>
        <w:tc>
          <w:tcPr/>
          <w:p>
            <w:pPr>
              <w:pStyle w:val="Compact"/>
              <w:jc w:val="left"/>
            </w:pPr>
            <w:r>
              <w:t xml:space="preserve">FEELNAT:LOC_SCEN</w:t>
            </w:r>
          </w:p>
        </w:tc>
        <w:tc>
          <w:tcPr/>
          <w:p>
            <w:pPr>
              <w:pStyle w:val="Compact"/>
            </w:pPr>
          </w:p>
        </w:tc>
        <w:tc>
          <w:tcPr/>
          <w:p>
            <w:pPr>
              <w:pStyle w:val="Compact"/>
              <w:jc w:val="center"/>
            </w:pPr>
            <w:r>
              <w:t xml:space="preserve">-0.002</w:t>
            </w:r>
          </w:p>
        </w:tc>
        <w:tc>
          <w:tcPr/>
          <w:p>
            <w:pPr>
              <w:pStyle w:val="Compact"/>
            </w:pPr>
          </w:p>
        </w:tc>
        <w:tc>
          <w:tcPr/>
          <w:p>
            <w:pPr>
              <w:pStyle w:val="Compact"/>
            </w:pPr>
          </w:p>
        </w:tc>
        <w:tc>
          <w:tcPr/>
          <w:p>
            <w:pPr>
              <w:pStyle w:val="Compact"/>
            </w:pPr>
          </w:p>
        </w:tc>
      </w:tr>
      <w:tr>
        <w:tc>
          <w:tcPr/>
          <w:p>
            <w:pPr>
              <w:pStyle w:val="Compact"/>
              <w:jc w:val="left"/>
            </w:pPr>
            <w:r>
              <w:t xml:space="preserve">FEELNAT:LOC_SENS</w:t>
            </w:r>
          </w:p>
        </w:tc>
        <w:tc>
          <w:tcPr/>
          <w:p>
            <w:pPr>
              <w:pStyle w:val="Compact"/>
              <w:jc w:val="center"/>
            </w:pPr>
            <w:r>
              <w:t xml:space="preserve">0.054.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LCFOREST_sqrt</w:t>
            </w:r>
          </w:p>
        </w:tc>
        <w:tc>
          <w:tcPr/>
          <w:p>
            <w:pPr>
              <w:pStyle w:val="Compact"/>
            </w:pPr>
          </w:p>
        </w:tc>
        <w:tc>
          <w:tcPr/>
          <w:p>
            <w:pPr>
              <w:pStyle w:val="Compact"/>
            </w:pPr>
          </w:p>
        </w:tc>
        <w:tc>
          <w:tcPr/>
          <w:p>
            <w:pPr>
              <w:pStyle w:val="Compact"/>
            </w:pPr>
          </w:p>
        </w:tc>
        <w:tc>
          <w:tcPr/>
          <w:p>
            <w:pPr>
              <w:pStyle w:val="Compact"/>
              <w:jc w:val="center"/>
            </w:pPr>
            <w:r>
              <w:t xml:space="preserve">-0.090*</w:t>
            </w:r>
          </w:p>
        </w:tc>
        <w:tc>
          <w:tcPr/>
          <w:p>
            <w:pPr>
              <w:pStyle w:val="Compact"/>
            </w:pPr>
          </w:p>
        </w:tc>
      </w:tr>
      <w:tr>
        <w:tc>
          <w:tcPr/>
          <w:p>
            <w:pPr>
              <w:pStyle w:val="Compact"/>
              <w:jc w:val="left"/>
            </w:pPr>
            <w:r>
              <w:t xml:space="preserve">LNOISE</w:t>
            </w:r>
          </w:p>
        </w:tc>
        <w:tc>
          <w:tcPr/>
          <w:p>
            <w:pPr>
              <w:pStyle w:val="Compact"/>
              <w:jc w:val="center"/>
            </w:pPr>
            <w:r>
              <w:t xml:space="preserve">0.177***</w:t>
            </w:r>
          </w:p>
        </w:tc>
        <w:tc>
          <w:tcPr/>
          <w:p>
            <w:pPr>
              <w:pStyle w:val="Compact"/>
              <w:jc w:val="center"/>
            </w:pPr>
            <w:r>
              <w:t xml:space="preserve">0.133***</w:t>
            </w:r>
          </w:p>
        </w:tc>
        <w:tc>
          <w:tcPr/>
          <w:p>
            <w:pPr>
              <w:pStyle w:val="Compact"/>
            </w:pPr>
          </w:p>
        </w:tc>
        <w:tc>
          <w:tcPr/>
          <w:p>
            <w:pPr>
              <w:pStyle w:val="Compact"/>
            </w:pPr>
          </w:p>
        </w:tc>
        <w:tc>
          <w:tcPr/>
          <w:p>
            <w:pPr>
              <w:pStyle w:val="Compact"/>
              <w:jc w:val="center"/>
            </w:pPr>
            <w:r>
              <w:t xml:space="preserve">0.133**</w:t>
            </w:r>
          </w:p>
        </w:tc>
      </w:tr>
      <w:tr>
        <w:tc>
          <w:tcPr/>
          <w:p>
            <w:pPr>
              <w:pStyle w:val="Compact"/>
              <w:jc w:val="left"/>
            </w:pPr>
            <w:r>
              <w:t xml:space="preserve">LNOISE:FEELNAT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-0.006</w:t>
            </w:r>
          </w:p>
        </w:tc>
      </w:tr>
      <w:tr>
        <w:tc>
          <w:tcPr/>
          <w:p>
            <w:pPr>
              <w:pStyle w:val="Compact"/>
              <w:jc w:val="left"/>
            </w:pPr>
            <w:r>
              <w:t xml:space="preserve">LOC_FAUN</w:t>
            </w:r>
          </w:p>
        </w:tc>
        <w:tc>
          <w:tcPr/>
          <w:p>
            <w:pPr>
              <w:pStyle w:val="Compact"/>
            </w:pPr>
          </w:p>
        </w:tc>
        <w:tc>
          <w:tcPr/>
          <w:p>
            <w:pPr>
              <w:pStyle w:val="Compact"/>
              <w:jc w:val="center"/>
            </w:pPr>
            <w:r>
              <w:t xml:space="preserve">0.176***</w:t>
            </w:r>
          </w:p>
        </w:tc>
        <w:tc>
          <w:tcPr/>
          <w:p>
            <w:pPr>
              <w:pStyle w:val="Compact"/>
            </w:pPr>
          </w:p>
        </w:tc>
        <w:tc>
          <w:tcPr/>
          <w:p>
            <w:pPr>
              <w:pStyle w:val="Compact"/>
            </w:pPr>
          </w:p>
        </w:tc>
        <w:tc>
          <w:tcPr/>
          <w:p>
            <w:pPr>
              <w:pStyle w:val="Compact"/>
            </w:pPr>
          </w:p>
        </w:tc>
      </w:tr>
      <w:tr>
        <w:tc>
          <w:tcPr/>
          <w:p>
            <w:pPr>
              <w:pStyle w:val="Compact"/>
              <w:jc w:val="left"/>
            </w:pPr>
            <w:r>
              <w:t xml:space="preserve">LOC_SCEN</w:t>
            </w:r>
          </w:p>
        </w:tc>
        <w:tc>
          <w:tcPr/>
          <w:p>
            <w:pPr>
              <w:pStyle w:val="Compact"/>
            </w:pPr>
          </w:p>
        </w:tc>
        <w:tc>
          <w:tcPr/>
          <w:p>
            <w:pPr>
              <w:pStyle w:val="Compact"/>
              <w:jc w:val="center"/>
            </w:pPr>
            <w:r>
              <w:t xml:space="preserve">0.164***</w:t>
            </w:r>
          </w:p>
        </w:tc>
        <w:tc>
          <w:tcPr/>
          <w:p>
            <w:pPr>
              <w:pStyle w:val="Compact"/>
            </w:pPr>
          </w:p>
        </w:tc>
        <w:tc>
          <w:tcPr/>
          <w:p>
            <w:pPr>
              <w:pStyle w:val="Compact"/>
              <w:jc w:val="center"/>
            </w:pPr>
            <w:r>
              <w:t xml:space="preserve">0.004</w:t>
            </w:r>
          </w:p>
        </w:tc>
        <w:tc>
          <w:tcPr/>
          <w:p>
            <w:pPr>
              <w:pStyle w:val="Compact"/>
            </w:pPr>
          </w:p>
        </w:tc>
      </w:tr>
      <w:tr>
        <w:tc>
          <w:tcPr/>
          <w:p>
            <w:pPr>
              <w:pStyle w:val="Compact"/>
              <w:jc w:val="left"/>
            </w:pPr>
            <w:r>
              <w:t xml:space="preserve">LOC_SENS</w:t>
            </w:r>
          </w:p>
        </w:tc>
        <w:tc>
          <w:tcPr/>
          <w:p>
            <w:pPr>
              <w:pStyle w:val="Compact"/>
              <w:jc w:val="center"/>
            </w:pPr>
            <w:r>
              <w:t xml:space="preserve">0.104*</w:t>
            </w:r>
          </w:p>
        </w:tc>
        <w:tc>
          <w:tcPr/>
          <w:p>
            <w:pPr>
              <w:pStyle w:val="Compact"/>
            </w:pPr>
          </w:p>
        </w:tc>
        <w:tc>
          <w:tcPr/>
          <w:p>
            <w:pPr>
              <w:pStyle w:val="Compact"/>
              <w:jc w:val="center"/>
            </w:pPr>
            <w:r>
              <w:t xml:space="preserve">0.147***</w:t>
            </w:r>
          </w:p>
        </w:tc>
        <w:tc>
          <w:tcPr/>
          <w:p>
            <w:pPr>
              <w:pStyle w:val="Compact"/>
              <w:jc w:val="center"/>
            </w:pPr>
            <w:r>
              <w:t xml:space="preserve">0.142***</w:t>
            </w:r>
          </w:p>
        </w:tc>
        <w:tc>
          <w:tcPr/>
          <w:p>
            <w:pPr>
              <w:pStyle w:val="Compact"/>
              <w:jc w:val="center"/>
            </w:pPr>
            <w:r>
              <w:t xml:space="preserve">0.096*</w:t>
            </w:r>
          </w:p>
        </w:tc>
      </w:tr>
      <w:tr>
        <w:tc>
          <w:tcPr/>
          <w:p>
            <w:pPr>
              <w:pStyle w:val="Compact"/>
              <w:jc w:val="left"/>
            </w:pPr>
            <w:r>
              <w:t xml:space="preserve">LOC_VISE</w:t>
            </w:r>
          </w:p>
        </w:tc>
        <w:tc>
          <w:tcPr/>
          <w:p>
            <w:pPr>
              <w:pStyle w:val="Compact"/>
              <w:jc w:val="center"/>
            </w:pPr>
            <w:r>
              <w:t xml:space="preserve">0.173***</w:t>
            </w:r>
          </w:p>
        </w:tc>
        <w:tc>
          <w:tcPr/>
          <w:p>
            <w:pPr>
              <w:pStyle w:val="Compact"/>
              <w:jc w:val="center"/>
            </w:pPr>
            <w:r>
              <w:t xml:space="preserve">0.128**</w:t>
            </w:r>
          </w:p>
        </w:tc>
        <w:tc>
          <w:tcPr/>
          <w:p>
            <w:pPr>
              <w:pStyle w:val="Compact"/>
              <w:jc w:val="center"/>
            </w:pPr>
            <w:r>
              <w:t xml:space="preserve">0.122**</w:t>
            </w:r>
          </w:p>
        </w:tc>
        <w:tc>
          <w:tcPr/>
          <w:p>
            <w:pPr>
              <w:pStyle w:val="Compact"/>
            </w:pPr>
          </w:p>
        </w:tc>
        <w:tc>
          <w:tcPr/>
          <w:p>
            <w:pPr>
              <w:pStyle w:val="Compact"/>
            </w:pPr>
          </w:p>
        </w:tc>
      </w:tr>
      <w:tr>
        <w:tc>
          <w:tcPr/>
          <w:p>
            <w:pPr>
              <w:pStyle w:val="Compact"/>
              <w:jc w:val="left"/>
            </w:pPr>
            <w:r>
              <w:t xml:space="preserve">RL_NDVI</w:t>
            </w:r>
          </w:p>
        </w:tc>
        <w:tc>
          <w:tcPr/>
          <w:p>
            <w:pPr>
              <w:pStyle w:val="Compact"/>
            </w:pPr>
          </w:p>
        </w:tc>
        <w:tc>
          <w:tcPr/>
          <w:p>
            <w:pPr>
              <w:pStyle w:val="Compact"/>
              <w:jc w:val="center"/>
            </w:pPr>
            <w:r>
              <w:t xml:space="preserve">-0.133***</w:t>
            </w:r>
          </w:p>
        </w:tc>
        <w:tc>
          <w:tcPr/>
          <w:p>
            <w:pPr>
              <w:pStyle w:val="Compact"/>
            </w:pPr>
          </w:p>
        </w:tc>
        <w:tc>
          <w:tcPr/>
          <w:p>
            <w:pPr>
              <w:pStyle w:val="Compact"/>
            </w:pPr>
          </w:p>
        </w:tc>
        <w:tc>
          <w:tcPr/>
          <w:p>
            <w:pPr>
              <w:pStyle w:val="Compact"/>
            </w:pPr>
          </w:p>
        </w:tc>
      </w:tr>
      <w:tr>
        <w:tc>
          <w:tcPr/>
          <w:p>
            <w:pPr>
              <w:pStyle w:val="Compact"/>
              <w:jc w:val="left"/>
            </w:pPr>
            <w:r>
              <w:t xml:space="preserve">RL_NDVI:LOC_SCEN</w:t>
            </w:r>
          </w:p>
        </w:tc>
        <w:tc>
          <w:tcPr/>
          <w:p>
            <w:pPr>
              <w:pStyle w:val="Compact"/>
            </w:pPr>
          </w:p>
        </w:tc>
        <w:tc>
          <w:tcPr/>
          <w:p>
            <w:pPr>
              <w:pStyle w:val="Compact"/>
              <w:jc w:val="center"/>
            </w:pPr>
            <w:r>
              <w:t xml:space="preserve">0.024</w:t>
            </w:r>
          </w:p>
        </w:tc>
        <w:tc>
          <w:tcPr/>
          <w:p>
            <w:pPr>
              <w:pStyle w:val="Compact"/>
            </w:pPr>
          </w:p>
        </w:tc>
        <w:tc>
          <w:tcPr/>
          <w:p>
            <w:pPr>
              <w:pStyle w:val="Compact"/>
            </w:pPr>
          </w:p>
        </w:tc>
        <w:tc>
          <w:tcPr/>
          <w:p>
            <w:pPr>
              <w:pStyle w:val="Compact"/>
            </w:pP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4"/>
    <w:bookmarkEnd w:id="35"/>
    <w:bookmarkEnd w:id="36"/>
    <w:bookmarkStart w:id="55" w:name="predict-rl-via-hm"/>
    <w:p>
      <w:pPr>
        <w:pStyle w:val="Heading2"/>
      </w:pPr>
      <w:r>
        <w:t xml:space="preserve">Predict RL via HM</w:t>
      </w:r>
    </w:p>
    <w:p>
      <w:pPr>
        <w:pStyle w:val="FirstParagraph"/>
      </w:pPr>
      <w:r>
        <w:t xml:space="preserve">Details/Code and results in</w:t>
      </w:r>
      <w:r>
        <w:t xml:space="preserve"> </w:t>
      </w:r>
      <w:hyperlink r:id="rId37">
        <w:r>
          <w:rPr>
            <w:rStyle w:val="Hyperlink"/>
          </w:rPr>
          <w:t xml:space="preserve">the notebook</w:t>
        </w:r>
      </w:hyperlink>
      <w:r>
        <w:t xml:space="preserve">.</w:t>
      </w:r>
    </w:p>
    <w:p>
      <w:pPr>
        <w:pStyle w:val="BodyText"/>
      </w:pPr>
      <w:r>
        <w:rPr>
          <w:b/>
          <w:bCs/>
        </w:rPr>
        <w:t xml:space="preserve">Procedure:</w:t>
      </w:r>
      <w:r>
        <w:t xml:space="preserve"> </w:t>
      </w:r>
      <w:r>
        <w:t xml:space="preserve">Stepwise feature selection using BIC on training data and subsequent model fitting on test data. Performed seperately for</w:t>
      </w:r>
      <w:r>
        <w:t xml:space="preserve"> </w:t>
      </w:r>
      <w:r>
        <w:rPr>
          <w:rStyle w:val="VerbatimChar"/>
        </w:rPr>
        <w:t xml:space="preserve">RL_NDVI</w:t>
      </w:r>
      <w:r>
        <w:t xml:space="preserve"> </w:t>
      </w:r>
      <w:r>
        <w:t xml:space="preserve">and</w:t>
      </w:r>
      <w:r>
        <w:t xml:space="preserve"> </w:t>
      </w:r>
      <w:r>
        <w:rPr>
          <w:rStyle w:val="VerbatimChar"/>
        </w:rPr>
        <w:t xml:space="preserve">RL_NOISE</w:t>
      </w:r>
      <w:r>
        <w:t xml:space="preserve">.</w:t>
      </w:r>
    </w:p>
    <w:p>
      <w:pPr>
        <w:pStyle w:val="BodyText"/>
      </w:pPr>
      <w:r>
        <w:rPr>
          <w:b/>
          <w:bCs/>
        </w:rPr>
        <w:t xml:space="preserve">Predictors:</w:t>
      </w:r>
      <w:r>
        <w:t xml:space="preserve">:</w:t>
      </w:r>
      <w:r>
        <w:t xml:space="preserve"> </w:t>
      </w:r>
      <w:r>
        <w:rPr>
          <w:rStyle w:val="VerbatimChar"/>
        </w:rPr>
        <w:t xml:space="preserve">HM_NDVI + HM_NOISE + LANG + AGE + SEX + SPEED_log + JNYTIME_sqrt</w:t>
      </w:r>
      <w:r>
        <w:t xml:space="preserve"> </w:t>
      </w:r>
      <w:r>
        <w:t xml:space="preserve">with all two-way interactions.</w:t>
      </w:r>
    </w:p>
    <w:bookmarkStart w:id="39" w:name="rl_ndvi"/>
    <w:p>
      <w:pPr>
        <w:pStyle w:val="Heading3"/>
      </w:pPr>
      <w:r>
        <w:t xml:space="preserve">RL_NDVI</w:t>
      </w:r>
    </w:p>
    <w:p>
      <w:pPr>
        <w:pStyle w:val="SourceCode"/>
      </w:pPr>
      <w:r>
        <w:br/>
      </w:r>
      <w:r>
        <w:rPr>
          <w:rStyle w:val="VerbatimChar"/>
        </w:rPr>
        <w:t xml:space="preserve">Call:</w:t>
      </w:r>
      <w:r>
        <w:br/>
      </w:r>
      <w:r>
        <w:rPr>
          <w:rStyle w:val="VerbatimChar"/>
        </w:rPr>
        <w:t xml:space="preserve">lm(formula = formula(step_ndvi), data = D_tst)</w:t>
      </w:r>
      <w:r>
        <w:br/>
      </w:r>
      <w:r>
        <w:br/>
      </w:r>
      <w:r>
        <w:rPr>
          <w:rStyle w:val="VerbatimChar"/>
        </w:rPr>
        <w:t xml:space="preserve">Residuals:</w:t>
      </w:r>
      <w:r>
        <w:br/>
      </w:r>
      <w:r>
        <w:rPr>
          <w:rStyle w:val="VerbatimChar"/>
        </w:rPr>
        <w:t xml:space="preserve">   Min     1Q Median     3Q    Max </w:t>
      </w:r>
      <w:r>
        <w:br/>
      </w:r>
      <w:r>
        <w:rPr>
          <w:rStyle w:val="VerbatimChar"/>
        </w:rPr>
        <w:t xml:space="preserve">-3.371 -0.430  0.182  0.698  1.989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-0.1690     0.0946   -1.79  0.07452 .  </w:t>
      </w:r>
      <w:r>
        <w:br/>
      </w:r>
      <w:r>
        <w:rPr>
          <w:rStyle w:val="VerbatimChar"/>
        </w:rPr>
        <w:t xml:space="preserve">HM_NDVI             0.1581     0.0413    3.83  0.00015 ***</w:t>
      </w:r>
      <w:r>
        <w:br/>
      </w:r>
      <w:r>
        <w:rPr>
          <w:rStyle w:val="VerbatimChar"/>
        </w:rPr>
        <w:t xml:space="preserve">LANGGerman          0.2232     0.1064    2.10  0.03633 *  </w:t>
      </w:r>
      <w:r>
        <w:br/>
      </w:r>
      <w:r>
        <w:rPr>
          <w:rStyle w:val="VerbatimChar"/>
        </w:rPr>
        <w:t xml:space="preserve">LANGItalian         0.0028     0.1965    0.01  0.98866    </w:t>
      </w:r>
      <w:r>
        <w:br/>
      </w:r>
      <w:r>
        <w:rPr>
          <w:rStyle w:val="VerbatimChar"/>
        </w:rPr>
        <w:t xml:space="preserve">SPEED_log          -0.0720     0.0414   -1.74  0.08277 .  </w:t>
      </w:r>
      <w:r>
        <w:br/>
      </w:r>
      <w:r>
        <w:rPr>
          <w:rStyle w:val="VerbatimChar"/>
        </w:rPr>
        <w:t xml:space="preserve">JNYTIME_sqrt        0.1272     0.0415    3.07  0.00226 ** </w:t>
      </w:r>
      <w:r>
        <w:br/>
      </w:r>
      <w:r>
        <w:rPr>
          <w:rStyle w:val="VerbatimChar"/>
        </w:rPr>
        <w:t xml:space="preserve">HM_NDVI:SPEED_log  -0.1848     0.0422   -4.38  1.4e-05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0.958 on 536 degrees of freedom</w:t>
      </w:r>
      <w:r>
        <w:br/>
      </w:r>
      <w:r>
        <w:rPr>
          <w:rStyle w:val="VerbatimChar"/>
        </w:rPr>
        <w:t xml:space="preserve">Multiple R-squared:  0.0917,    Adjusted R-squared:  0.0815 </w:t>
      </w:r>
      <w:r>
        <w:br/>
      </w:r>
      <w:r>
        <w:rPr>
          <w:rStyle w:val="VerbatimChar"/>
        </w:rPr>
        <w:t xml:space="preserve">F-statistic: 9.02 on 6 and 536 DF,  p-value: 2.09e-09</w:t>
      </w:r>
    </w:p>
    <w:p>
      <w:pPr>
        <w:pStyle w:val="FirstParagraph"/>
      </w:pPr>
      <w:r>
        <w:rPr>
          <w:vertAlign w:val="subscript"/>
        </w:rPr>
        <w:t xml:space="preserve">Source:</w:t>
      </w:r>
      <w:r>
        <w:rPr>
          <w:vertAlign w:val="subscript"/>
        </w:rPr>
        <w:t xml:space="preserve"> </w:t>
      </w:r>
      <w:hyperlink r:id="rId38">
        <w:r>
          <w:rPr>
            <w:rStyle w:val="Hyperlink"/>
            <w:vertAlign w:val="subscript"/>
          </w:rPr>
          <w:t xml:space="preserve">Predict RL via HM</w:t>
        </w:r>
      </w:hyperlink>
    </w:p>
    <w:p>
      <w:pPr>
        <w:pStyle w:val="Compact"/>
        <w:numPr>
          <w:ilvl w:val="0"/>
          <w:numId w:val="1011"/>
        </w:numPr>
      </w:pPr>
      <w:r>
        <w:t xml:space="preserve">R² = 0.08</w:t>
      </w:r>
    </w:p>
    <w:p>
      <w:pPr>
        <w:pStyle w:val="Compact"/>
        <w:numPr>
          <w:ilvl w:val="0"/>
          <w:numId w:val="1011"/>
        </w:numPr>
      </w:pPr>
      <w:r>
        <w:t xml:space="preserve">Higher HM_NDVI corresponds to slightly higher RL-NDVI</w:t>
      </w:r>
    </w:p>
    <w:p>
      <w:pPr>
        <w:pStyle w:val="Compact"/>
        <w:numPr>
          <w:ilvl w:val="0"/>
          <w:numId w:val="1011"/>
        </w:numPr>
      </w:pPr>
      <w:r>
        <w:t xml:space="preserve">higher JNYTIME_sqrt corresponds to slightly higher RL-NDVI</w:t>
      </w:r>
    </w:p>
    <w:p>
      <w:pPr>
        <w:pStyle w:val="Compact"/>
        <w:numPr>
          <w:ilvl w:val="0"/>
          <w:numId w:val="1011"/>
        </w:numPr>
      </w:pPr>
      <w:r>
        <w:t xml:space="preserve">The faster (or further) you travel to RL, the more the RL_NDVI differs from HM_NDVI (negative interaction effect)</w:t>
      </w:r>
    </w:p>
    <w:bookmarkEnd w:id="39"/>
    <w:bookmarkStart w:id="47" w:name="rl_noise"/>
    <w:p>
      <w:pPr>
        <w:pStyle w:val="Heading3"/>
      </w:pPr>
      <w:r>
        <w:t xml:space="preserve">RL_NOISE</w:t>
      </w:r>
    </w:p>
    <w:p>
      <w:pPr>
        <w:pStyle w:val="SourceCode"/>
      </w:pPr>
      <w:r>
        <w:br/>
      </w:r>
      <w:r>
        <w:rPr>
          <w:rStyle w:val="VerbatimChar"/>
        </w:rPr>
        <w:t xml:space="preserve">Call:</w:t>
      </w:r>
      <w:r>
        <w:br/>
      </w:r>
      <w:r>
        <w:rPr>
          <w:rStyle w:val="VerbatimChar"/>
        </w:rPr>
        <w:t xml:space="preserve">lm(formula = formula(step_noise), data = D_tst)</w:t>
      </w:r>
      <w:r>
        <w:br/>
      </w:r>
      <w:r>
        <w:br/>
      </w:r>
      <w:r>
        <w:rPr>
          <w:rStyle w:val="VerbatimChar"/>
        </w:rPr>
        <w:t xml:space="preserve">Residuals:</w:t>
      </w:r>
      <w:r>
        <w:br/>
      </w:r>
      <w:r>
        <w:rPr>
          <w:rStyle w:val="VerbatimChar"/>
        </w:rPr>
        <w:t xml:space="preserve">    Min      1Q  Median      3Q     Max </w:t>
      </w:r>
      <w:r>
        <w:br/>
      </w:r>
      <w:r>
        <w:rPr>
          <w:rStyle w:val="VerbatimChar"/>
        </w:rPr>
        <w:t xml:space="preserve">-2.5097 -0.7495 -0.0467  0.6473  2.8683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-0.03379    0.08896   -0.38  0.70426    </w:t>
      </w:r>
      <w:r>
        <w:br/>
      </w:r>
      <w:r>
        <w:rPr>
          <w:rStyle w:val="VerbatimChar"/>
        </w:rPr>
        <w:t xml:space="preserve">HM_NOISE               0.23846    0.03916    6.09  2.2e-09 ***</w:t>
      </w:r>
      <w:r>
        <w:br/>
      </w:r>
      <w:r>
        <w:rPr>
          <w:rStyle w:val="VerbatimChar"/>
        </w:rPr>
        <w:t xml:space="preserve">LANGGerman            -0.00494    0.09968   -0.05  0.96047    </w:t>
      </w:r>
      <w:r>
        <w:br/>
      </w:r>
      <w:r>
        <w:rPr>
          <w:rStyle w:val="VerbatimChar"/>
        </w:rPr>
        <w:t xml:space="preserve">LANGItalian            0.62198    0.18667    3.33  0.00092 ***</w:t>
      </w:r>
      <w:r>
        <w:br/>
      </w:r>
      <w:r>
        <w:rPr>
          <w:rStyle w:val="VerbatimChar"/>
        </w:rPr>
        <w:t xml:space="preserve">SPEED_log             -0.06326    0.03902   -1.62  0.10552    </w:t>
      </w:r>
      <w:r>
        <w:br/>
      </w:r>
      <w:r>
        <w:rPr>
          <w:rStyle w:val="VerbatimChar"/>
        </w:rPr>
        <w:t xml:space="preserve">JNYTIME_sqrt          -0.31956    0.03936   -8.12  3.2e-15 ***</w:t>
      </w:r>
      <w:r>
        <w:br/>
      </w:r>
      <w:r>
        <w:rPr>
          <w:rStyle w:val="VerbatimChar"/>
        </w:rPr>
        <w:t xml:space="preserve">HM_NOISE:JNYTIME_sqrt -0.03423    0.04070   -0.84  0.40061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0.904 on 536 degrees of freedom</w:t>
      </w:r>
      <w:r>
        <w:br/>
      </w:r>
      <w:r>
        <w:rPr>
          <w:rStyle w:val="VerbatimChar"/>
        </w:rPr>
        <w:t xml:space="preserve">Multiple R-squared:  0.193, Adjusted R-squared:  0.184 </w:t>
      </w:r>
      <w:r>
        <w:br/>
      </w:r>
      <w:r>
        <w:rPr>
          <w:rStyle w:val="VerbatimChar"/>
        </w:rPr>
        <w:t xml:space="preserve">F-statistic: 21.3 on 6 and 536 DF,  p-value: &lt;2e-16</w:t>
      </w:r>
    </w:p>
    <w:p>
      <w:pPr>
        <w:pStyle w:val="FirstParagraph"/>
      </w:pPr>
      <w:r>
        <w:rPr>
          <w:vertAlign w:val="subscript"/>
        </w:rPr>
        <w:t xml:space="preserve">Source:</w:t>
      </w:r>
      <w:r>
        <w:rPr>
          <w:vertAlign w:val="subscript"/>
        </w:rPr>
        <w:t xml:space="preserve"> </w:t>
      </w:r>
      <w:hyperlink r:id="rId40">
        <w:r>
          <w:rPr>
            <w:rStyle w:val="Hyperlink"/>
            <w:vertAlign w:val="subscript"/>
          </w:rPr>
          <w:t xml:space="preserve">Predict RL via HM</w:t>
        </w:r>
      </w:hyperlink>
    </w:p>
    <w:p>
      <w:pPr>
        <w:pStyle w:val="Compact"/>
        <w:numPr>
          <w:ilvl w:val="0"/>
          <w:numId w:val="1012"/>
        </w:numPr>
      </w:pPr>
      <w:r>
        <w:t xml:space="preserve">R² = 0.184</w:t>
      </w:r>
    </w:p>
    <w:p>
      <w:pPr>
        <w:pStyle w:val="Compact"/>
        <w:numPr>
          <w:ilvl w:val="0"/>
          <w:numId w:val="1012"/>
        </w:numPr>
      </w:pPr>
      <w:r>
        <w:t xml:space="preserve">Participants can’t completely escape HM_NOISE (HM_NOISE positive predictor)</w:t>
      </w:r>
    </w:p>
    <w:p>
      <w:pPr>
        <w:pStyle w:val="Compact"/>
        <w:numPr>
          <w:ilvl w:val="0"/>
          <w:numId w:val="1012"/>
        </w:numPr>
      </w:pPr>
      <w:r>
        <w:t xml:space="preserve">LANGItalians have it louder (than LANG de/fr)</w:t>
      </w:r>
    </w:p>
    <w:p>
      <w:pPr>
        <w:pStyle w:val="Compact"/>
        <w:numPr>
          <w:ilvl w:val="0"/>
          <w:numId w:val="1012"/>
        </w:numPr>
      </w:pPr>
      <w:r>
        <w:t xml:space="preserve">Longer JNYTIME_sqrt leads to lower NOISE</w:t>
      </w:r>
    </w:p>
    <w:p>
      <w:pPr>
        <w:pStyle w:val="FirstParagraph"/>
      </w:pPr>
      <w:r>
        <w:t xml:space="preserve">Visualizing the effect of</w:t>
      </w:r>
      <w:r>
        <w:t xml:space="preserve"> </w:t>
      </w:r>
      <w:r>
        <w:rPr>
          <w:rStyle w:val="VerbatimChar"/>
        </w:rPr>
        <w:t xml:space="preserve">HM_NOISE</w:t>
      </w:r>
      <w:r>
        <w:t xml:space="preserve"> </w:t>
      </w:r>
      <w:r>
        <w:t xml:space="preserve">and</w:t>
      </w:r>
      <w:r>
        <w:t xml:space="preserve"> </w:t>
      </w:r>
      <w:r>
        <w:rPr>
          <w:rStyle w:val="VerbatimChar"/>
        </w:rPr>
        <w:t xml:space="preserve">JNYTIME_sqrt</w:t>
      </w:r>
      <w:r>
        <w:t xml:space="preserve"> </w:t>
      </w:r>
      <w:r>
        <w:t xml:space="preserve">on</w:t>
      </w:r>
      <w:r>
        <w:t xml:space="preserve"> </w:t>
      </w:r>
      <w:r>
        <w:rPr>
          <w:rStyle w:val="VerbatimChar"/>
        </w:rPr>
        <w:t xml:space="preserve">RL_NOISE</w:t>
      </w:r>
      <w:r>
        <w:t xml:space="preserve">:</w:t>
      </w:r>
    </w:p>
    <w:tbl>
      <w:tblPr>
        <w:tblStyle w:val="Table"/>
        <w:tblW w:type="pct" w:w="5000"/>
        <w:tblLayout w:type="fixed"/>
        <w:tblLook w:firstRow="0" w:lastRow="0" w:firstColumn="0" w:lastColumn="0" w:noHBand="0" w:noVBand="0" w:val="0000"/>
      </w:tblPr>
      <w:tblGrid>
        <w:gridCol w:w="7920"/>
      </w:tblGrid>
      <w:tr>
        <w:tc>
          <w:tcPr/>
          <w:bookmarkStart w:id="45" w:name="fig-predicted-rl-noise-w-gp"/>
          <w:p>
            <w:pPr>
              <w:pStyle w:val="Compact"/>
              <w:jc w:val="center"/>
            </w:pPr>
            <w:bookmarkStart w:id="44" w:name="fig-predicted-rl-noise-w-gp"/>
            <w:r>
              <w:drawing>
                <wp:inline>
                  <wp:extent cx="5334000" cy="3810000"/>
                  <wp:effectExtent b="0" l="0" r="0" t="0"/>
                  <wp:docPr descr="" title="" id="42" name="Picture"/>
                  <a:graphic>
                    <a:graphicData uri="http://schemas.openxmlformats.org/drawingml/2006/picture">
                      <pic:pic>
                        <pic:nvPicPr>
                          <pic:cNvPr descr="index_files/figure-docx/notebooks-RL-via-HM-fig-predicted-rl-noise-w-gp-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bookmarkEnd w:id="44"/>
          </w:p>
          <w:p>
            <w:pPr>
              <w:jc w:val="center"/>
            </w:pPr>
            <w:pPr>
              <w:jc w:val="start"/>
              <w:spacing w:before="200"/>
              <w:pStyle w:val="ImageCaption"/>
            </w:pPr>
            <w:r>
              <w:t xml:space="preserve">Figure 1</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Predict RL via HM</w:t>
        </w:r>
      </w:hyperlink>
    </w:p>
    <w:bookmarkEnd w:id="47"/>
    <w:bookmarkStart w:id="54" w:name="soundscape-description-per-hm_noise"/>
    <w:p>
      <w:pPr>
        <w:pStyle w:val="Heading3"/>
      </w:pPr>
      <w:r>
        <w:t xml:space="preserve">Soundscape Description per HM_Noise</w:t>
      </w:r>
    </w:p>
    <w:tbl>
      <w:tblPr>
        <w:tblStyle w:val="Table"/>
        <w:tblW w:type="pct" w:w="5000"/>
        <w:tblLayout w:type="fixed"/>
        <w:tblLook w:firstRow="0" w:lastRow="0" w:firstColumn="0" w:lastColumn="0" w:noHBand="0" w:noVBand="0" w:val="0000"/>
      </w:tblPr>
      <w:tblGrid>
        <w:gridCol w:w="7920"/>
      </w:tblGrid>
      <w:tr>
        <w:tc>
          <w:tcPr/>
          <w:bookmarkStart w:id="52" w:name="fig-soundscape-description"/>
          <w:p>
            <w:pPr>
              <w:pStyle w:val="Compact"/>
              <w:jc w:val="center"/>
            </w:pPr>
            <w:bookmarkStart w:id="51" w:name="fig-soundscape-description"/>
            <w:r>
              <w:drawing>
                <wp:inline>
                  <wp:extent cx="5334000" cy="6096000"/>
                  <wp:effectExtent b="0" l="0" r="0" t="0"/>
                  <wp:docPr descr="" title="" id="49" name="Picture"/>
                  <a:graphic>
                    <a:graphicData uri="http://schemas.openxmlformats.org/drawingml/2006/picture">
                      <pic:pic>
                        <pic:nvPicPr>
                          <pic:cNvPr descr="index_files/figure-docx/notebooks-RL-via-HM-fig-soundscape-description-output-1.png" id="50" name="Picture"/>
                          <pic:cNvPicPr>
                            <a:picLocks noChangeArrowheads="1" noChangeAspect="1"/>
                          </pic:cNvPicPr>
                        </pic:nvPicPr>
                        <pic:blipFill>
                          <a:blip r:embed="rId48"/>
                          <a:stretch>
                            <a:fillRect/>
                          </a:stretch>
                        </pic:blipFill>
                        <pic:spPr bwMode="auto">
                          <a:xfrm>
                            <a:off x="0" y="0"/>
                            <a:ext cx="5334000" cy="6096000"/>
                          </a:xfrm>
                          <a:prstGeom prst="rect">
                            <a:avLst/>
                          </a:prstGeom>
                          <a:noFill/>
                          <a:ln w="9525">
                            <a:noFill/>
                            <a:headEnd/>
                            <a:tailEnd/>
                          </a:ln>
                        </pic:spPr>
                      </pic:pic>
                    </a:graphicData>
                  </a:graphic>
                </wp:inline>
              </w:drawing>
            </w:r>
            <w:bookmarkEnd w:id="51"/>
          </w:p>
          <w:p>
            <w:pPr>
              <w:jc w:val="center"/>
            </w:pPr>
            <w:pPr>
              <w:jc w:val="start"/>
              <w:spacing w:before="200"/>
              <w:pStyle w:val="ImageCaption"/>
            </w:pPr>
            <w:r>
              <w:t xml:space="preserve">Figure 2</w:t>
            </w:r>
          </w:p>
          <w:bookmarkEnd w:id="52"/>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Predict RL via HM</w:t>
        </w:r>
      </w:hyperlink>
    </w:p>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53" Target="https://LGraz.github.io/wsl--prs-analysis/notebooks/RL-via-HM-preview.html#cell-fig-soundscape-description"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_rels/footnotes.xml.rels><?xml version="1.0" encoding="UTF-8"?><Relationships xmlns="http://schemas.openxmlformats.org/package/2006/relationships"><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53" Target="https://LGraz.github.io/wsl--prs-analysis/notebooks/RL-via-HM-preview.html#cell-fig-soundscape-description"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PRS Analysis for WSL</dc:title>
  <dc:creator/>
  <cp:keywords/>
  <dcterms:created xsi:type="dcterms:W3CDTF">2025-08-11T09:14:44Z</dcterms:created>
  <dcterms:modified xsi:type="dcterms:W3CDTF">2025-08-11T09:14:44Z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2025-02-25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