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PRS Analysis for WSL</w:t>
      </w:r>
    </w:p>
    <w:bookmarkStart w:id="21" w:name="release-notes"/>
    <w:p>
      <w:pPr>
        <w:pStyle w:val="Heading1"/>
      </w:pPr>
      <w:r>
        <w:t xml:space="preserve">Release Notes</w:t>
      </w:r>
    </w:p>
    <w:bookmarkStart w:id="20" w:name="v0.1"/>
    <w:p>
      <w:pPr>
        <w:pStyle w:val="Heading2"/>
      </w:pPr>
      <w:r>
        <w:t xml:space="preserve">V0.1</w:t>
      </w:r>
    </w:p>
    <w:p>
      <w:pPr>
        <w:pStyle w:val="Compact"/>
        <w:numPr>
          <w:ilvl w:val="0"/>
          <w:numId w:val="1001"/>
        </w:numPr>
      </w:pPr>
      <w:r>
        <w:t xml:space="preserve">Initial release (Technical Setup)</w:t>
      </w:r>
    </w:p>
    <w:p>
      <w:pPr>
        <w:pStyle w:val="Compact"/>
        <w:numPr>
          <w:ilvl w:val="0"/>
          <w:numId w:val="1001"/>
        </w:numPr>
      </w:pPr>
      <w:r>
        <w:t xml:space="preserve">Data Preparation</w:t>
      </w:r>
    </w:p>
    <w:p>
      <w:pPr>
        <w:pStyle w:val="Compact"/>
        <w:numPr>
          <w:ilvl w:val="1"/>
          <w:numId w:val="1002"/>
        </w:numPr>
      </w:pPr>
      <w:r>
        <w:t xml:space="preserve">Conducted sanity checks on data (duplications, type consistency, and comparison with</w:t>
      </w:r>
      <w:r>
        <w:t xml:space="preserve"> </w:t>
      </w:r>
      <w:r>
        <w:rPr>
          <w:rStyle w:val="VerbatimChar"/>
        </w:rPr>
        <w:t xml:space="preserve">df_varlookup_for_lukas.xlsx</w:t>
      </w:r>
      <w: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Performed type encoding</w:t>
      </w:r>
    </w:p>
    <w:p>
      <w:pPr>
        <w:pStyle w:val="Compact"/>
        <w:numPr>
          <w:ilvl w:val="1"/>
          <w:numId w:val="1002"/>
        </w:numPr>
      </w:pPr>
      <w:r>
        <w:t xml:space="preserve">Created 14 dictionaries for translating ordinal categorical variables to numeric (e.g., mapping: Very:5, Quite:4, Fair:3, Little:2, Not:1)</w:t>
      </w:r>
    </w:p>
    <w:p>
      <w:pPr>
        <w:pStyle w:val="Compact"/>
        <w:numPr>
          <w:ilvl w:val="0"/>
          <w:numId w:val="1001"/>
        </w:numPr>
      </w:pPr>
      <w:r>
        <w:t xml:space="preserve">Filtered observations according to criteria described in</w:t>
      </w:r>
      <w:r>
        <w:t xml:space="preserve"> </w:t>
      </w:r>
      <w:r>
        <w:rPr>
          <w:rStyle w:val="VerbatimChar"/>
        </w:rPr>
        <w:t xml:space="preserve">_INFO_for_Lukas.docx</w:t>
      </w:r>
    </w:p>
    <w:p>
      <w:pPr>
        <w:pStyle w:val="Compact"/>
        <w:numPr>
          <w:ilvl w:val="0"/>
          <w:numId w:val="1001"/>
        </w:numPr>
      </w:pPr>
      <w:r>
        <w:t xml:space="preserve">Missing Values</w:t>
      </w:r>
    </w:p>
    <w:p>
      <w:pPr>
        <w:pStyle w:val="Compact"/>
        <w:numPr>
          <w:ilvl w:val="1"/>
          <w:numId w:val="1003"/>
        </w:numPr>
      </w:pPr>
      <w:r>
        <w:t xml:space="preserve">Checked patterns of missingness for PRS-Variables, Mediators, and GIS-Variables</w:t>
      </w:r>
    </w:p>
    <w:p>
      <w:pPr>
        <w:pStyle w:val="Compact"/>
        <w:numPr>
          <w:ilvl w:val="1"/>
          <w:numId w:val="1003"/>
        </w:numPr>
      </w:pPr>
      <w:r>
        <w:t xml:space="preserve">For PRS-Variables: Compared imputation methods: MissForest, Column-wise Mean, Observation-wise Mean</w:t>
      </w:r>
    </w:p>
    <w:p>
      <w:pPr>
        <w:pStyle w:val="Compact"/>
        <w:numPr>
          <w:ilvl w:val="1"/>
          <w:numId w:val="1003"/>
        </w:numPr>
      </w:pPr>
      <w:r>
        <w:t xml:space="preserve">Imputed missing values for all relevant variables using MissForest (each chunk separately) - later to be done separately for Train/Test data</w:t>
      </w:r>
    </w:p>
    <w:p>
      <w:pPr>
        <w:pStyle w:val="Compact"/>
        <w:numPr>
          <w:ilvl w:val="0"/>
          <w:numId w:val="1001"/>
        </w:numPr>
      </w:pPr>
      <w:r>
        <w:t xml:space="preserve">Initial Modeling Completed - results to be updated with imputed data and PC1-4</w:t>
      </w:r>
    </w:p>
    <w:bookmarkEnd w:id="20"/>
    <w:bookmarkEnd w:id="21"/>
    <w:bookmarkStart w:id="23" w:name="main-analysis"/>
    <w:p>
      <w:pPr>
        <w:pStyle w:val="Heading1"/>
      </w:pPr>
      <w:r>
        <w:t xml:space="preserve">Main Analysis</w:t>
      </w:r>
    </w:p>
    <w:bookmarkStart w:id="22" w:name="which-response-to-use"/>
    <w:p>
      <w:pPr>
        <w:pStyle w:val="Heading3"/>
      </w:pPr>
      <w:r>
        <w:t xml:space="preserve">Which Response to Use?</w:t>
      </w:r>
    </w:p>
    <w:p>
      <w:pPr>
        <w:pStyle w:val="FirstParagraph"/>
      </w:pPr>
      <w:r>
        <w:t xml:space="preserve">Initial Idea was to use:</w:t>
      </w:r>
      <w:r>
        <w:t xml:space="preserve"> </w:t>
      </w:r>
      <w:r>
        <w:t xml:space="preserve">- Aggregated MEAN</w:t>
      </w:r>
      <w:r>
        <w:t xml:space="preserve"> </w:t>
      </w:r>
      <w:r>
        <w:t xml:space="preserve">- PRS1 (Fascination)</w:t>
      </w:r>
      <w:r>
        <w:t xml:space="preserve"> </w:t>
      </w:r>
      <w:r>
        <w:t xml:space="preserve">- PRS2 (Being Away)</w:t>
      </w:r>
      <w:r>
        <w:t xml:space="preserve"> </w:t>
      </w:r>
      <w:r>
        <w:t xml:space="preserve">- PRS3 (Extent Coherence)</w:t>
      </w:r>
      <w:r>
        <w:t xml:space="preserve"> </w:t>
      </w:r>
      <w:r>
        <w:t xml:space="preserve">- PRS4 (Compatibility)</w:t>
      </w:r>
    </w:p>
    <w:p>
      <w:pPr>
        <w:pStyle w:val="BodyText"/>
      </w:pPr>
      <w:r>
        <w:rPr>
          <w:b/>
          <w:bCs/>
        </w:rPr>
        <w:t xml:space="preserve">Verify</w:t>
      </w:r>
      <w:r>
        <w:t xml:space="preserve"> </w:t>
      </w:r>
      <w:r>
        <w:t xml:space="preserve">if this is a good approach with</w:t>
      </w:r>
      <w:r>
        <w:t xml:space="preserve"> </w:t>
      </w:r>
      <w:r>
        <w:rPr>
          <w:b/>
          <w:bCs/>
        </w:rPr>
        <w:t xml:space="preserve">PCA</w:t>
      </w:r>
      <w:r>
        <w:t xml:space="preserve">. Findings so far:</w:t>
      </w:r>
    </w:p>
    <w:p>
      <w:pPr>
        <w:pStyle w:val="Compact"/>
        <w:numPr>
          <w:ilvl w:val="0"/>
          <w:numId w:val="1004"/>
        </w:numPr>
      </w:pPr>
      <w:r>
        <w:t xml:space="preserve">PCA suggests that the data can be well approximated with 3-4 dimensions.</w:t>
      </w:r>
    </w:p>
    <w:p>
      <w:pPr>
        <w:pStyle w:val="Compact"/>
        <w:numPr>
          <w:ilvl w:val="0"/>
          <w:numId w:val="1004"/>
        </w:numPr>
      </w:pPr>
      <w:r>
        <w:t xml:space="preserve">Unsurprisingly, the first dimension is close to a weighted average of all variables. Projecting on PC1 yields a correlation &gt;0.99.</w:t>
      </w:r>
    </w:p>
    <w:p>
      <w:pPr>
        <w:pStyle w:val="Compact"/>
        <w:numPr>
          <w:ilvl w:val="0"/>
          <w:numId w:val="1004"/>
        </w:numPr>
      </w:pPr>
      <w:r>
        <w:t xml:space="preserve">PRS3 (Extent Coherence) differs the most from the others (see PC2)</w:t>
      </w:r>
    </w:p>
    <w:p>
      <w:pPr>
        <w:pStyle w:val="Compact"/>
        <w:numPr>
          <w:ilvl w:val="0"/>
          <w:numId w:val="1004"/>
        </w:numPr>
      </w:pPr>
      <w:r>
        <w:t xml:space="preserve">PRS1 (Fascination) and PRS2 (Being Away) are rather similar (see PC1-PC3)</w:t>
      </w:r>
    </w:p>
    <w:p>
      <w:pPr>
        <w:pStyle w:val="Compact"/>
        <w:numPr>
          <w:ilvl w:val="0"/>
          <w:numId w:val="1004"/>
        </w:numPr>
      </w:pPr>
      <w:r>
        <w:t xml:space="preserve">The aggregated PRS variables are also justified given the PCA results (similar values in rotation). Therefore, it is justified to use the mean.</w:t>
      </w:r>
    </w:p>
    <w:p>
      <w:pPr>
        <w:pStyle w:val="FirstParagraph"/>
      </w:pPr>
      <w:r>
        <w:t xml:space="preserve">We will continue to investigate the PCA projections as alternative response variables (along with PRS1-4).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PRS Analysis for WSL</dc:title>
  <dc:creator/>
  <cp:keywords/>
  <dcterms:created xsi:type="dcterms:W3CDTF">2025-01-27T16:49:26Z</dcterms:created>
  <dcterms:modified xsi:type="dcterms:W3CDTF">2025-01-27T16:49:26Z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