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51"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6"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5"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Start w:id="33" w:name="all-interactions-mediators-gis2"/>
    <w:p>
      <w:pPr>
        <w:pStyle w:val="Heading4"/>
      </w:pPr>
      <w:r>
        <w:t xml:space="preserve">All Interactions: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Covariate</w:t>
            </w:r>
          </w:p>
        </w:tc>
        <w:tc>
          <w:tcPr/>
          <w:p>
            <w:pPr>
              <w:pStyle w:val="Compact"/>
              <w:jc w:val="center"/>
            </w:pPr>
            <w:r>
              <w:t xml:space="preserve">FEELNAT</w:t>
            </w:r>
          </w:p>
        </w:tc>
        <w:tc>
          <w:tcPr/>
          <w:p>
            <w:pPr>
              <w:pStyle w:val="Compact"/>
              <w:jc w:val="center"/>
            </w:pPr>
            <w:r>
              <w:t xml:space="preserve">LNOISE</w:t>
            </w:r>
          </w:p>
        </w:tc>
      </w:tr>
      <w:tr>
        <w:tc>
          <w:tcPr/>
          <w:p>
            <w:pPr>
              <w:pStyle w:val="Compact"/>
              <w:jc w:val="left"/>
            </w:pPr>
            <w:r>
              <w:t xml:space="preserve">(Intercept)</w:t>
            </w:r>
          </w:p>
        </w:tc>
        <w:tc>
          <w:tcPr/>
          <w:p>
            <w:pPr>
              <w:pStyle w:val="Compact"/>
              <w:jc w:val="center"/>
            </w:pPr>
            <w:r>
              <w:t xml:space="preserve">0.062</w:t>
            </w:r>
          </w:p>
        </w:tc>
        <w:tc>
          <w:tcPr/>
          <w:p>
            <w:pPr>
              <w:pStyle w:val="Compact"/>
              <w:jc w:val="center"/>
            </w:pPr>
            <w:r>
              <w:t xml:space="preserve">-0.001</w:t>
            </w:r>
          </w:p>
        </w:tc>
      </w:tr>
      <w:tr>
        <w:tc>
          <w:tcPr/>
          <w:p>
            <w:pPr>
              <w:pStyle w:val="Compact"/>
              <w:jc w:val="left"/>
            </w:pPr>
            <w:r>
              <w:t xml:space="preserve">LCARTIF_sqrt</w:t>
            </w:r>
          </w:p>
        </w:tc>
        <w:tc>
          <w:tcPr/>
          <w:p>
            <w:pPr>
              <w:pStyle w:val="Compact"/>
              <w:jc w:val="center"/>
            </w:pPr>
            <w:r>
              <w:t xml:space="preserve">-0.152**</w:t>
            </w:r>
          </w:p>
        </w:tc>
        <w:tc>
          <w:tcPr/>
          <w:p>
            <w:pPr>
              <w:pStyle w:val="Compact"/>
              <w:jc w:val="center"/>
            </w:pPr>
            <w:r>
              <w:t xml:space="preserve">-0.124*</w:t>
            </w:r>
          </w:p>
        </w:tc>
      </w:tr>
      <w:tr>
        <w:tc>
          <w:tcPr/>
          <w:p>
            <w:pPr>
              <w:pStyle w:val="Compact"/>
              <w:jc w:val="left"/>
            </w:pPr>
            <w:r>
              <w:t xml:space="preserve">LCARTIF_sqrt:RL_NDVI</w:t>
            </w:r>
          </w:p>
        </w:tc>
        <w:tc>
          <w:tcPr/>
          <w:p>
            <w:pPr>
              <w:pStyle w:val="Compact"/>
              <w:jc w:val="center"/>
            </w:pPr>
            <w:r>
              <w:t xml:space="preserve">0.115**</w:t>
            </w:r>
          </w:p>
        </w:tc>
        <w:tc>
          <w:tcPr/>
          <w:p>
            <w:pPr>
              <w:pStyle w:val="Compact"/>
            </w:pPr>
          </w:p>
        </w:tc>
      </w:tr>
      <w:tr>
        <w:tc>
          <w:tcPr/>
          <w:p>
            <w:pPr>
              <w:pStyle w:val="Compact"/>
              <w:jc w:val="left"/>
            </w:pPr>
            <w:r>
              <w:t xml:space="preserve">OVDIST_sqrt</w:t>
            </w:r>
          </w:p>
        </w:tc>
        <w:tc>
          <w:tcPr/>
          <w:p>
            <w:pPr>
              <w:pStyle w:val="Compact"/>
              <w:jc w:val="center"/>
            </w:pPr>
            <w:r>
              <w:t xml:space="preserve">0.027</w:t>
            </w:r>
          </w:p>
        </w:tc>
        <w:tc>
          <w:tcPr/>
          <w:p>
            <w:pPr>
              <w:pStyle w:val="Compact"/>
            </w:pPr>
          </w:p>
        </w:tc>
      </w:tr>
      <w:tr>
        <w:tc>
          <w:tcPr/>
          <w:p>
            <w:pPr>
              <w:pStyle w:val="Compact"/>
              <w:jc w:val="left"/>
            </w:pPr>
            <w:r>
              <w:t xml:space="preserve">RL_NDVI</w:t>
            </w:r>
          </w:p>
        </w:tc>
        <w:tc>
          <w:tcPr/>
          <w:p>
            <w:pPr>
              <w:pStyle w:val="Compact"/>
              <w:jc w:val="center"/>
            </w:pPr>
            <w:r>
              <w:t xml:space="preserve">0.150***</w:t>
            </w:r>
          </w:p>
        </w:tc>
        <w:tc>
          <w:tcPr/>
          <w:p>
            <w:pPr>
              <w:pStyle w:val="Compact"/>
            </w:pPr>
          </w:p>
        </w:tc>
      </w:tr>
      <w:tr>
        <w:tc>
          <w:tcPr/>
          <w:p>
            <w:pPr>
              <w:pStyle w:val="Compact"/>
              <w:jc w:val="left"/>
            </w:pPr>
            <w:r>
              <w:t xml:space="preserve">RL_NOISE</w:t>
            </w:r>
          </w:p>
        </w:tc>
        <w:tc>
          <w:tcPr/>
          <w:p>
            <w:pPr>
              <w:pStyle w:val="Compact"/>
            </w:pPr>
          </w:p>
        </w:tc>
        <w:tc>
          <w:tcPr/>
          <w:p>
            <w:pPr>
              <w:pStyle w:val="Compact"/>
              <w:jc w:val="center"/>
            </w:pPr>
            <w:r>
              <w:t xml:space="preserve">-0.242***</w:t>
            </w: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prs-mediators-gis2"/>
    <w:p>
      <w:pPr>
        <w:pStyle w:val="Heading4"/>
      </w:pPr>
      <w:r>
        <w:t xml:space="preserve">PRS ~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Covariate</w:t>
            </w:r>
          </w:p>
        </w:tc>
        <w:tc>
          <w:tcPr/>
          <w:p>
            <w:pPr>
              <w:pStyle w:val="Compact"/>
              <w:jc w:val="center"/>
            </w:pPr>
            <w:r>
              <w:t xml:space="preserve">MEAN</w:t>
            </w:r>
          </w:p>
        </w:tc>
        <w:tc>
          <w:tcPr/>
          <w:p>
            <w:pPr>
              <w:pStyle w:val="Compact"/>
              <w:jc w:val="center"/>
            </w:pPr>
            <w:r>
              <w:t xml:space="preserve">FA</w:t>
            </w:r>
          </w:p>
        </w:tc>
        <w:tc>
          <w:tcPr/>
          <w:p>
            <w:pPr>
              <w:pStyle w:val="Compact"/>
              <w:jc w:val="center"/>
            </w:pPr>
            <w:r>
              <w:t xml:space="preserve">BA</w:t>
            </w:r>
          </w:p>
        </w:tc>
        <w:tc>
          <w:tcPr/>
          <w:p>
            <w:pPr>
              <w:pStyle w:val="Compact"/>
              <w:jc w:val="center"/>
            </w:pPr>
            <w:r>
              <w:t xml:space="preserve">EC</w:t>
            </w:r>
          </w:p>
        </w:tc>
        <w:tc>
          <w:tcPr/>
          <w:p>
            <w:pPr>
              <w:pStyle w:val="Compact"/>
              <w:jc w:val="center"/>
            </w:pPr>
            <w:r>
              <w:t xml:space="preserve">ES</w:t>
            </w:r>
          </w:p>
        </w:tc>
      </w:tr>
      <w:tr>
        <w:tc>
          <w:tcPr/>
          <w:p>
            <w:pPr>
              <w:pStyle w:val="Compact"/>
              <w:jc w:val="left"/>
            </w:pPr>
            <w:r>
              <w:t xml:space="preserve">(Intercept)</w:t>
            </w:r>
          </w:p>
        </w:tc>
        <w:tc>
          <w:tcPr/>
          <w:p>
            <w:pPr>
              <w:pStyle w:val="Compact"/>
              <w:jc w:val="center"/>
            </w:pPr>
            <w:r>
              <w:t xml:space="preserve">-0.006</w:t>
            </w: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-0.006</w:t>
            </w:r>
          </w:p>
        </w:tc>
        <w:tc>
          <w:tcPr/>
          <w:p>
            <w:pPr>
              <w:pStyle w:val="Compact"/>
              <w:jc w:val="center"/>
            </w:pPr>
            <w:r>
              <w:t xml:space="preserve">0.028</w:t>
            </w:r>
          </w:p>
        </w:tc>
      </w:tr>
      <w:tr>
        <w:tc>
          <w:tcPr/>
          <w:p>
            <w:pPr>
              <w:pStyle w:val="Compact"/>
              <w:jc w:val="left"/>
            </w:pPr>
            <w:r>
              <w:t xml:space="preserve">DISTKM_sqrt</w:t>
            </w:r>
          </w:p>
        </w:tc>
        <w:tc>
          <w:tcPr/>
          <w:p>
            <w:pPr>
              <w:pStyle w:val="Compact"/>
              <w:jc w:val="center"/>
            </w:pPr>
            <w:r>
              <w:t xml:space="preserve">-0.019</w:t>
            </w:r>
          </w:p>
        </w:tc>
        <w:tc>
          <w:tcPr/>
          <w:p>
            <w:pPr>
              <w:pStyle w:val="Compact"/>
            </w:pPr>
          </w:p>
        </w:tc>
        <w:tc>
          <w:tcPr/>
          <w:p>
            <w:pPr>
              <w:pStyle w:val="Compact"/>
            </w:pPr>
          </w:p>
        </w:tc>
        <w:tc>
          <w:tcPr/>
          <w:p>
            <w:pPr>
              <w:pStyle w:val="Compact"/>
            </w:pPr>
          </w:p>
        </w:tc>
        <w:tc>
          <w:tcPr/>
          <w:p>
            <w:pPr>
              <w:pStyle w:val="Compact"/>
              <w:jc w:val="center"/>
            </w:pPr>
            <w:r>
              <w:t xml:space="preserve">0.073.</w:t>
            </w:r>
          </w:p>
        </w:tc>
      </w:tr>
      <w:tr>
        <w:tc>
          <w:tcPr/>
          <w:p>
            <w:pPr>
              <w:pStyle w:val="Compact"/>
              <w:jc w:val="left"/>
            </w:pPr>
            <w:r>
              <w:t xml:space="preserve">FEELNAT</w:t>
            </w:r>
          </w:p>
        </w:tc>
        <w:tc>
          <w:tcPr/>
          <w:p>
            <w:pPr>
              <w:pStyle w:val="Compact"/>
              <w:jc w:val="center"/>
            </w:pPr>
            <w:r>
              <w:t xml:space="preserve">0.251***</w:t>
            </w:r>
          </w:p>
        </w:tc>
        <w:tc>
          <w:tcPr/>
          <w:p>
            <w:pPr>
              <w:pStyle w:val="Compact"/>
              <w:jc w:val="center"/>
            </w:pPr>
            <w:r>
              <w:t xml:space="preserve">0.265***</w:t>
            </w:r>
          </w:p>
        </w:tc>
        <w:tc>
          <w:tcPr/>
          <w:p>
            <w:pPr>
              <w:pStyle w:val="Compact"/>
              <w:jc w:val="center"/>
            </w:pPr>
            <w:r>
              <w:t xml:space="preserve">0.252***</w:t>
            </w:r>
          </w:p>
        </w:tc>
        <w:tc>
          <w:tcPr/>
          <w:p>
            <w:pPr>
              <w:pStyle w:val="Compact"/>
              <w:jc w:val="center"/>
            </w:pPr>
            <w:r>
              <w:t xml:space="preserve">0.058</w:t>
            </w:r>
          </w:p>
        </w:tc>
        <w:tc>
          <w:tcPr/>
          <w:p>
            <w:pPr>
              <w:pStyle w:val="Compact"/>
              <w:jc w:val="center"/>
            </w:pPr>
            <w:r>
              <w:t xml:space="preserve">0.269***</w:t>
            </w:r>
          </w:p>
        </w:tc>
      </w:tr>
      <w:tr>
        <w:tc>
          <w:tcPr/>
          <w:p>
            <w:pPr>
              <w:pStyle w:val="Compact"/>
              <w:jc w:val="left"/>
            </w:pPr>
            <w:r>
              <w:t xml:space="preserve">FEELNAT:LNOISE</w:t>
            </w:r>
          </w:p>
        </w:tc>
        <w:tc>
          <w:tcPr/>
          <w:p>
            <w:pPr>
              <w:pStyle w:val="Compact"/>
              <w:jc w:val="center"/>
            </w:pPr>
            <w:r>
              <w:t xml:space="preserve">0.022</w:t>
            </w:r>
          </w:p>
        </w:tc>
        <w:tc>
          <w:tcPr/>
          <w:p>
            <w:pPr>
              <w:pStyle w:val="Compact"/>
              <w:jc w:val="center"/>
            </w:pPr>
            <w:r>
              <w:t xml:space="preserve">-0.036</w:t>
            </w:r>
          </w:p>
        </w:tc>
        <w:tc>
          <w:tcPr/>
          <w:p>
            <w:pPr>
              <w:pStyle w:val="Compact"/>
            </w:pPr>
          </w:p>
        </w:tc>
        <w:tc>
          <w:tcPr/>
          <w:p>
            <w:pPr>
              <w:pStyle w:val="Compact"/>
            </w:pPr>
          </w:p>
        </w:tc>
        <w:tc>
          <w:tcPr/>
          <w:p>
            <w:pPr>
              <w:pStyle w:val="Compact"/>
            </w:pPr>
          </w:p>
        </w:tc>
      </w:tr>
      <w:tr>
        <w:tc>
          <w:tcPr/>
          <w:p>
            <w:pPr>
              <w:pStyle w:val="Compact"/>
              <w:jc w:val="left"/>
            </w:pPr>
            <w:r>
              <w:t xml:space="preserve">LCFOREST_sqrt</w:t>
            </w:r>
          </w:p>
        </w:tc>
        <w:tc>
          <w:tcPr/>
          <w:p>
            <w:pPr>
              <w:pStyle w:val="Compact"/>
              <w:jc w:val="center"/>
            </w:pPr>
            <w:r>
              <w:t xml:space="preserve">-0.066.</w:t>
            </w:r>
          </w:p>
        </w:tc>
        <w:tc>
          <w:tcPr/>
          <w:p>
            <w:pPr>
              <w:pStyle w:val="Compact"/>
            </w:pPr>
          </w:p>
        </w:tc>
        <w:tc>
          <w:tcPr/>
          <w:p>
            <w:pPr>
              <w:pStyle w:val="Compact"/>
            </w:pPr>
          </w:p>
        </w:tc>
        <w:tc>
          <w:tcPr/>
          <w:p>
            <w:pPr>
              <w:pStyle w:val="Compact"/>
              <w:jc w:val="center"/>
            </w:pPr>
            <w:r>
              <w:t xml:space="preserve">-0.113**</w:t>
            </w:r>
          </w:p>
        </w:tc>
        <w:tc>
          <w:tcPr/>
          <w:p>
            <w:pPr>
              <w:pStyle w:val="Compact"/>
            </w:pPr>
          </w:p>
        </w:tc>
      </w:tr>
      <w:tr>
        <w:tc>
          <w:tcPr/>
          <w:p>
            <w:pPr>
              <w:pStyle w:val="Compact"/>
              <w:jc w:val="left"/>
            </w:pPr>
            <w:r>
              <w:t xml:space="preserve">LNOISE</w:t>
            </w:r>
          </w:p>
        </w:tc>
        <w:tc>
          <w:tcPr/>
          <w:p>
            <w:pPr>
              <w:pStyle w:val="Compact"/>
              <w:jc w:val="center"/>
            </w:pPr>
            <w:r>
              <w:t xml:space="preserve">0.213***</w:t>
            </w:r>
          </w:p>
        </w:tc>
        <w:tc>
          <w:tcPr/>
          <w:p>
            <w:pPr>
              <w:pStyle w:val="Compact"/>
              <w:jc w:val="center"/>
            </w:pPr>
            <w:r>
              <w:t xml:space="preserve">0.171***</w:t>
            </w:r>
          </w:p>
        </w:tc>
        <w:tc>
          <w:tcPr/>
          <w:p>
            <w:pPr>
              <w:pStyle w:val="Compact"/>
            </w:pPr>
          </w:p>
        </w:tc>
        <w:tc>
          <w:tcPr/>
          <w:p>
            <w:pPr>
              <w:pStyle w:val="Compact"/>
            </w:pPr>
          </w:p>
        </w:tc>
        <w:tc>
          <w:tcPr/>
          <w:p>
            <w:pPr>
              <w:pStyle w:val="Compact"/>
              <w:jc w:val="center"/>
            </w:pPr>
            <w:r>
              <w:t xml:space="preserve">0.142**</w:t>
            </w:r>
          </w:p>
        </w:tc>
      </w:tr>
      <w:tr>
        <w:tc>
          <w:tcPr/>
          <w:p>
            <w:pPr>
              <w:pStyle w:val="Compact"/>
              <w:jc w:val="left"/>
            </w:pPr>
            <w:r>
              <w:t xml:space="preserve">LNOISE:FEELNAT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-0.012</w:t>
            </w:r>
          </w:p>
        </w:tc>
      </w:tr>
      <w:tr>
        <w:tc>
          <w:tcPr/>
          <w:p>
            <w:pPr>
              <w:pStyle w:val="Compact"/>
              <w:jc w:val="left"/>
            </w:pPr>
            <w:r>
              <w:t xml:space="preserve">RL_NDVI</w:t>
            </w:r>
          </w:p>
        </w:tc>
        <w:tc>
          <w:tcPr/>
          <w:p>
            <w:pPr>
              <w:pStyle w:val="Compact"/>
            </w:pPr>
          </w:p>
        </w:tc>
        <w:tc>
          <w:tcPr/>
          <w:p>
            <w:pPr>
              <w:pStyle w:val="Compact"/>
              <w:jc w:val="center"/>
            </w:pPr>
            <w:r>
              <w:t xml:space="preserve">-0.105**</w:t>
            </w: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4"/>
    <w:bookmarkEnd w:id="35"/>
    <w:bookmarkEnd w:id="36"/>
    <w:bookmarkStart w:id="48" w:name="predict-rl-via-hm"/>
    <w:p>
      <w:pPr>
        <w:pStyle w:val="Heading2"/>
      </w:pPr>
      <w:r>
        <w:t xml:space="preserve">Predict RL via HM</w:t>
      </w:r>
    </w:p>
    <w:p>
      <w:pPr>
        <w:pStyle w:val="FirstParagraph"/>
      </w:pPr>
      <w:r>
        <w:t xml:space="preserve">Details/Code and results in</w:t>
      </w:r>
      <w:r>
        <w:t xml:space="preserve"> </w:t>
      </w:r>
      <w:hyperlink r:id="rId37">
        <w:r>
          <w:rPr>
            <w:rStyle w:val="Hyperlink"/>
          </w:rPr>
          <w:t xml:space="preserve">the notebook</w:t>
        </w:r>
      </w:hyperlink>
      <w:r>
        <w:t xml:space="preserve">.</w:t>
      </w:r>
    </w:p>
    <w:p>
      <w:pPr>
        <w:pStyle w:val="BodyText"/>
      </w:pPr>
      <w:r>
        <w:rPr>
          <w:b/>
          <w:bCs/>
        </w:rPr>
        <w:t xml:space="preserve">Procedure:</w:t>
      </w:r>
      <w:r>
        <w:t xml:space="preserve"> </w:t>
      </w:r>
      <w:r>
        <w:t xml:space="preserve">Stepwise feature selection using BIC on training data and subsequent model fitting on test data. Performed seperately for</w:t>
      </w:r>
      <w:r>
        <w:t xml:space="preserve"> </w:t>
      </w:r>
      <w:r>
        <w:rPr>
          <w:rStyle w:val="VerbatimChar"/>
        </w:rPr>
        <w:t xml:space="preserve">RL_NDVI</w:t>
      </w:r>
      <w:r>
        <w:t xml:space="preserve"> </w:t>
      </w:r>
      <w:r>
        <w:t xml:space="preserve">and</w:t>
      </w:r>
      <w:r>
        <w:t xml:space="preserve"> </w:t>
      </w:r>
      <w:r>
        <w:rPr>
          <w:rStyle w:val="VerbatimChar"/>
        </w:rPr>
        <w:t xml:space="preserve">RL_NOISE</w:t>
      </w:r>
      <w:r>
        <w:t xml:space="preserve">.</w:t>
      </w:r>
    </w:p>
    <w:p>
      <w:pPr>
        <w:pStyle w:val="BodyText"/>
      </w:pPr>
      <w:r>
        <w:rPr>
          <w:b/>
          <w:bCs/>
        </w:rPr>
        <w:t xml:space="preserve">Predictors:</w:t>
      </w:r>
      <w:r>
        <w:t xml:space="preserve">:</w:t>
      </w:r>
      <w:r>
        <w:t xml:space="preserve"> </w:t>
      </w:r>
      <w:r>
        <w:rPr>
          <w:rStyle w:val="VerbatimChar"/>
        </w:rPr>
        <w:t xml:space="preserve">HM_NDVI + HM_NOISE + LANG + AGE + SEX + SPEED_log + JNYTIME_sqrt</w:t>
      </w:r>
      <w:r>
        <w:t xml:space="preserve"> </w:t>
      </w:r>
      <w:r>
        <w:t xml:space="preserve">with all two-way interactions.</w:t>
      </w:r>
    </w:p>
    <w:bookmarkStart w:id="39" w:name="rl_ndvi"/>
    <w:p>
      <w:pPr>
        <w:pStyle w:val="Heading3"/>
      </w:pPr>
      <w:r>
        <w:t xml:space="preserve">RL_NDVI</w:t>
      </w:r>
    </w:p>
    <w:p>
      <w:pPr>
        <w:pStyle w:val="SourceCode"/>
      </w:pPr>
      <w:r>
        <w:br/>
      </w:r>
      <w:r>
        <w:rPr>
          <w:rStyle w:val="VerbatimChar"/>
        </w:rPr>
        <w:t xml:space="preserve">Call:</w:t>
      </w:r>
      <w:r>
        <w:br/>
      </w:r>
      <w:r>
        <w:rPr>
          <w:rStyle w:val="VerbatimChar"/>
        </w:rPr>
        <w:t xml:space="preserve">lm(formula = formula(step_ndvi), data = D_tst)</w:t>
      </w:r>
      <w:r>
        <w:br/>
      </w:r>
      <w:r>
        <w:br/>
      </w:r>
      <w:r>
        <w:rPr>
          <w:rStyle w:val="VerbatimChar"/>
        </w:rPr>
        <w:t xml:space="preserve">Residuals:</w:t>
      </w:r>
      <w:r>
        <w:br/>
      </w:r>
      <w:r>
        <w:rPr>
          <w:rStyle w:val="VerbatimChar"/>
        </w:rPr>
        <w:t xml:space="preserve">   Min     1Q Median     3Q    Max </w:t>
      </w:r>
      <w:r>
        <w:br/>
      </w:r>
      <w:r>
        <w:rPr>
          <w:rStyle w:val="VerbatimChar"/>
        </w:rPr>
        <w:t xml:space="preserve">-3.371 -0.430  0.182  0.698  1.989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-0.1690     0.0946   -1.79  0.07452 .  </w:t>
      </w:r>
      <w:r>
        <w:br/>
      </w:r>
      <w:r>
        <w:rPr>
          <w:rStyle w:val="VerbatimChar"/>
        </w:rPr>
        <w:t xml:space="preserve">HM_NDVI             0.1581     0.0413    3.83  0.00015 ***</w:t>
      </w:r>
      <w:r>
        <w:br/>
      </w:r>
      <w:r>
        <w:rPr>
          <w:rStyle w:val="VerbatimChar"/>
        </w:rPr>
        <w:t xml:space="preserve">LANGGerman          0.2232     0.1064    2.10  0.03633 *  </w:t>
      </w:r>
      <w:r>
        <w:br/>
      </w:r>
      <w:r>
        <w:rPr>
          <w:rStyle w:val="VerbatimChar"/>
        </w:rPr>
        <w:t xml:space="preserve">LANGItalian         0.0028     0.1965    0.01  0.98866    </w:t>
      </w:r>
      <w:r>
        <w:br/>
      </w:r>
      <w:r>
        <w:rPr>
          <w:rStyle w:val="VerbatimChar"/>
        </w:rPr>
        <w:t xml:space="preserve">SPEED_log          -0.0720     0.0414   -1.74  0.08277 .  </w:t>
      </w:r>
      <w:r>
        <w:br/>
      </w:r>
      <w:r>
        <w:rPr>
          <w:rStyle w:val="VerbatimChar"/>
        </w:rPr>
        <w:t xml:space="preserve">JNYTIME_sqrt        0.1272     0.0415    3.07  0.00226 ** </w:t>
      </w:r>
      <w:r>
        <w:br/>
      </w:r>
      <w:r>
        <w:rPr>
          <w:rStyle w:val="VerbatimChar"/>
        </w:rPr>
        <w:t xml:space="preserve">HM_NDVI:SPEED_log  -0.1848     0.0422   -4.38  1.4e-05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0.958 on 536 degrees of freedom</w:t>
      </w:r>
      <w:r>
        <w:br/>
      </w:r>
      <w:r>
        <w:rPr>
          <w:rStyle w:val="VerbatimChar"/>
        </w:rPr>
        <w:t xml:space="preserve">Multiple R-squared:  0.0917,    Adjusted R-squared:  0.0815 </w:t>
      </w:r>
      <w:r>
        <w:br/>
      </w:r>
      <w:r>
        <w:rPr>
          <w:rStyle w:val="VerbatimChar"/>
        </w:rPr>
        <w:t xml:space="preserve">F-statistic: 9.02 on 6 and 536 DF,  p-value: 2.09e-09</w:t>
      </w:r>
    </w:p>
    <w:p>
      <w:pPr>
        <w:pStyle w:val="FirstParagraph"/>
      </w:pPr>
      <w:r>
        <w:rPr>
          <w:vertAlign w:val="subscript"/>
        </w:rPr>
        <w:t xml:space="preserve">Source:</w:t>
      </w:r>
      <w:r>
        <w:rPr>
          <w:vertAlign w:val="subscript"/>
        </w:rPr>
        <w:t xml:space="preserve"> </w:t>
      </w:r>
      <w:hyperlink r:id="rId38">
        <w:r>
          <w:rPr>
            <w:rStyle w:val="Hyperlink"/>
            <w:vertAlign w:val="subscript"/>
          </w:rPr>
          <w:t xml:space="preserve">Predict RL via HM</w:t>
        </w:r>
      </w:hyperlink>
    </w:p>
    <w:p>
      <w:pPr>
        <w:pStyle w:val="Compact"/>
        <w:numPr>
          <w:ilvl w:val="0"/>
          <w:numId w:val="1011"/>
        </w:numPr>
      </w:pPr>
      <w:r>
        <w:t xml:space="preserve">R² = 0.08</w:t>
      </w:r>
    </w:p>
    <w:p>
      <w:pPr>
        <w:pStyle w:val="Compact"/>
        <w:numPr>
          <w:ilvl w:val="0"/>
          <w:numId w:val="1011"/>
        </w:numPr>
      </w:pPr>
      <w:r>
        <w:t xml:space="preserve">Higher HM_NDVI corresponds to slightly higher RL-NDVI</w:t>
      </w:r>
    </w:p>
    <w:p>
      <w:pPr>
        <w:pStyle w:val="Compact"/>
        <w:numPr>
          <w:ilvl w:val="0"/>
          <w:numId w:val="1011"/>
        </w:numPr>
      </w:pPr>
      <w:r>
        <w:t xml:space="preserve">higher JNYTIME_sqrt corresponds to slightly higher RL-NDVI</w:t>
      </w:r>
    </w:p>
    <w:p>
      <w:pPr>
        <w:pStyle w:val="Compact"/>
        <w:numPr>
          <w:ilvl w:val="0"/>
          <w:numId w:val="1011"/>
        </w:numPr>
      </w:pPr>
      <w:r>
        <w:t xml:space="preserve">The faster (or further) you travel to RL, the more the RL_NDVI differs from HM_NDVI (negative interaction effect)</w:t>
      </w:r>
    </w:p>
    <w:bookmarkEnd w:id="39"/>
    <w:bookmarkStart w:id="47" w:name="rl_noise"/>
    <w:p>
      <w:pPr>
        <w:pStyle w:val="Heading3"/>
      </w:pPr>
      <w:r>
        <w:t xml:space="preserve">RL_NOISE</w:t>
      </w:r>
    </w:p>
    <w:p>
      <w:pPr>
        <w:pStyle w:val="SourceCode"/>
      </w:pPr>
      <w:r>
        <w:br/>
      </w:r>
      <w:r>
        <w:rPr>
          <w:rStyle w:val="VerbatimChar"/>
        </w:rPr>
        <w:t xml:space="preserve">Call:</w:t>
      </w:r>
      <w:r>
        <w:br/>
      </w:r>
      <w:r>
        <w:rPr>
          <w:rStyle w:val="VerbatimChar"/>
        </w:rPr>
        <w:t xml:space="preserve">lm(formula = formula(step_noise), data = D_tst)</w:t>
      </w:r>
      <w:r>
        <w:br/>
      </w:r>
      <w:r>
        <w:br/>
      </w:r>
      <w:r>
        <w:rPr>
          <w:rStyle w:val="VerbatimChar"/>
        </w:rPr>
        <w:t xml:space="preserve">Residuals:</w:t>
      </w:r>
      <w:r>
        <w:br/>
      </w:r>
      <w:r>
        <w:rPr>
          <w:rStyle w:val="VerbatimChar"/>
        </w:rPr>
        <w:t xml:space="preserve">    Min      1Q  Median      3Q     Max </w:t>
      </w:r>
      <w:r>
        <w:br/>
      </w:r>
      <w:r>
        <w:rPr>
          <w:rStyle w:val="VerbatimChar"/>
        </w:rPr>
        <w:t xml:space="preserve">-2.5097 -0.7495 -0.0467  0.6473  2.8683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-0.03379    0.08896   -0.38  0.70426    </w:t>
      </w:r>
      <w:r>
        <w:br/>
      </w:r>
      <w:r>
        <w:rPr>
          <w:rStyle w:val="VerbatimChar"/>
        </w:rPr>
        <w:t xml:space="preserve">HM_NOISE               0.23846    0.03916    6.09  2.2e-09 ***</w:t>
      </w:r>
      <w:r>
        <w:br/>
      </w:r>
      <w:r>
        <w:rPr>
          <w:rStyle w:val="VerbatimChar"/>
        </w:rPr>
        <w:t xml:space="preserve">LANGGerman            -0.00494    0.09968   -0.05  0.96047    </w:t>
      </w:r>
      <w:r>
        <w:br/>
      </w:r>
      <w:r>
        <w:rPr>
          <w:rStyle w:val="VerbatimChar"/>
        </w:rPr>
        <w:t xml:space="preserve">LANGItalian            0.62198    0.18667    3.33  0.00092 ***</w:t>
      </w:r>
      <w:r>
        <w:br/>
      </w:r>
      <w:r>
        <w:rPr>
          <w:rStyle w:val="VerbatimChar"/>
        </w:rPr>
        <w:t xml:space="preserve">SPEED_log             -0.06326    0.03902   -1.62  0.10552    </w:t>
      </w:r>
      <w:r>
        <w:br/>
      </w:r>
      <w:r>
        <w:rPr>
          <w:rStyle w:val="VerbatimChar"/>
        </w:rPr>
        <w:t xml:space="preserve">JNYTIME_sqrt          -0.31956    0.03936   -8.12  3.2e-15 ***</w:t>
      </w:r>
      <w:r>
        <w:br/>
      </w:r>
      <w:r>
        <w:rPr>
          <w:rStyle w:val="VerbatimChar"/>
        </w:rPr>
        <w:t xml:space="preserve">HM_NOISE:JNYTIME_sqrt -0.03423    0.04070   -0.84  0.40061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0.904 on 536 degrees of freedom</w:t>
      </w:r>
      <w:r>
        <w:br/>
      </w:r>
      <w:r>
        <w:rPr>
          <w:rStyle w:val="VerbatimChar"/>
        </w:rPr>
        <w:t xml:space="preserve">Multiple R-squared:  0.193, Adjusted R-squared:  0.184 </w:t>
      </w:r>
      <w:r>
        <w:br/>
      </w:r>
      <w:r>
        <w:rPr>
          <w:rStyle w:val="VerbatimChar"/>
        </w:rPr>
        <w:t xml:space="preserve">F-statistic: 21.3 on 6 and 536 DF,  p-value: &lt;2e-16</w:t>
      </w:r>
    </w:p>
    <w:p>
      <w:pPr>
        <w:pStyle w:val="FirstParagraph"/>
      </w:pPr>
      <w:r>
        <w:rPr>
          <w:vertAlign w:val="subscript"/>
        </w:rPr>
        <w:t xml:space="preserve">Source:</w:t>
      </w:r>
      <w:r>
        <w:rPr>
          <w:vertAlign w:val="subscript"/>
        </w:rPr>
        <w:t xml:space="preserve"> </w:t>
      </w:r>
      <w:hyperlink r:id="rId40">
        <w:r>
          <w:rPr>
            <w:rStyle w:val="Hyperlink"/>
            <w:vertAlign w:val="subscript"/>
          </w:rPr>
          <w:t xml:space="preserve">Predict RL via HM</w:t>
        </w:r>
      </w:hyperlink>
    </w:p>
    <w:p>
      <w:pPr>
        <w:pStyle w:val="Compact"/>
        <w:numPr>
          <w:ilvl w:val="0"/>
          <w:numId w:val="1012"/>
        </w:numPr>
      </w:pPr>
      <w:r>
        <w:t xml:space="preserve">R² = 0.184</w:t>
      </w:r>
    </w:p>
    <w:p>
      <w:pPr>
        <w:pStyle w:val="Compact"/>
        <w:numPr>
          <w:ilvl w:val="0"/>
          <w:numId w:val="1012"/>
        </w:numPr>
      </w:pPr>
      <w:r>
        <w:t xml:space="preserve">Participants can’t completely escape HM_NOISE (HM_NOISE positive predictor)</w:t>
      </w:r>
    </w:p>
    <w:p>
      <w:pPr>
        <w:pStyle w:val="Compact"/>
        <w:numPr>
          <w:ilvl w:val="0"/>
          <w:numId w:val="1012"/>
        </w:numPr>
      </w:pPr>
      <w:r>
        <w:t xml:space="preserve">LANGItalians have it louder (than LANG de/fr)</w:t>
      </w:r>
    </w:p>
    <w:p>
      <w:pPr>
        <w:pStyle w:val="Compact"/>
        <w:numPr>
          <w:ilvl w:val="0"/>
          <w:numId w:val="1012"/>
        </w:numPr>
      </w:pPr>
      <w:r>
        <w:t xml:space="preserve">Longer JNYTIME_sqrt leads to lower NOISE</w:t>
      </w:r>
    </w:p>
    <w:p>
      <w:pPr>
        <w:pStyle w:val="FirstParagraph"/>
      </w:pPr>
      <w:r>
        <w:t xml:space="preserve">Visualizing the effect of</w:t>
      </w:r>
      <w:r>
        <w:t xml:space="preserve"> </w:t>
      </w:r>
      <w:r>
        <w:rPr>
          <w:rStyle w:val="VerbatimChar"/>
        </w:rPr>
        <w:t xml:space="preserve">HM_NOISE</w:t>
      </w:r>
      <w:r>
        <w:t xml:space="preserve"> </w:t>
      </w:r>
      <w:r>
        <w:t xml:space="preserve">and</w:t>
      </w:r>
      <w:r>
        <w:t xml:space="preserve"> </w:t>
      </w:r>
      <w:r>
        <w:rPr>
          <w:rStyle w:val="VerbatimChar"/>
        </w:rPr>
        <w:t xml:space="preserve">JNYTIME_sqrt</w:t>
      </w:r>
      <w:r>
        <w:t xml:space="preserve"> </w:t>
      </w:r>
      <w:r>
        <w:t xml:space="preserve">on</w:t>
      </w:r>
      <w:r>
        <w:t xml:space="preserve"> </w:t>
      </w:r>
      <w:r>
        <w:rPr>
          <w:rStyle w:val="VerbatimChar"/>
        </w:rPr>
        <w:t xml:space="preserve">RL_NOISE</w:t>
      </w:r>
      <w:r>
        <w:t xml:space="preserve">:</w:t>
      </w:r>
    </w:p>
    <w:tbl>
      <w:tblPr>
        <w:tblStyle w:val="Table"/>
        <w:tblW w:type="pct" w:w="5000"/>
        <w:tblLayout w:type="fixed"/>
        <w:tblLook w:firstRow="0" w:lastRow="0" w:firstColumn="0" w:lastColumn="0" w:noHBand="0" w:noVBand="0" w:val="0000"/>
      </w:tblPr>
      <w:tblGrid>
        <w:gridCol w:w="7920"/>
      </w:tblGrid>
      <w:tr>
        <w:tc>
          <w:tcPr/>
          <w:bookmarkStart w:id="45" w:name="fig-predicted-rl-noise-w-gp"/>
          <w:p>
            <w:pPr>
              <w:pStyle w:val="Compact"/>
              <w:jc w:val="center"/>
            </w:pPr>
            <w:bookmarkStart w:id="44" w:name="fig-predicted-rl-noise-w-gp"/>
            <w:r>
              <w:drawing>
                <wp:inline>
                  <wp:extent cx="5334000" cy="3810000"/>
                  <wp:effectExtent b="0" l="0" r="0" t="0"/>
                  <wp:docPr descr="" title="" id="42" name="Picture"/>
                  <a:graphic>
                    <a:graphicData uri="http://schemas.openxmlformats.org/drawingml/2006/picture">
                      <pic:pic>
                        <pic:nvPicPr>
                          <pic:cNvPr descr="index_files/figure-docx/notebooks-RL-via-HM-fig-predicted-rl-noise-w-gp-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1</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Predict RL via HM</w:t>
        </w:r>
      </w:hyperlink>
    </w:p>
    <w:bookmarkEnd w:id="47"/>
    <w:bookmarkEnd w:id="48"/>
    <w:bookmarkStart w:id="50" w:name="plots"/>
    <w:p>
      <w:pPr>
        <w:pStyle w:val="Heading2"/>
      </w:pPr>
      <w:r>
        <w:t xml:space="preserve">Plots</w:t>
      </w:r>
    </w:p>
    <w:p>
      <w:pPr>
        <w:pStyle w:val="FirstParagraph"/>
      </w:pPr>
      <w:r>
        <w:t xml:space="preserve">see</w:t>
      </w:r>
      <w:r>
        <w:t xml:space="preserve"> </w:t>
      </w:r>
      <w:hyperlink r:id="rId49">
        <w:r>
          <w:rPr>
            <w:rStyle w:val="Hyperlink"/>
          </w:rPr>
          <w:t xml:space="preserve">the notebook</w:t>
        </w:r>
      </w:hyperlink>
      <w:r>
        <w:t xml:space="preserve">.</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 Type="http://schemas.openxmlformats.org/officeDocument/2006/relationships/hyperlink" Id="rId49" Target="notebooks/noise-plots.qmd" TargetMode="External" /></Relationships>
</file>

<file path=word/_rels/footnotes.xml.rels><?xml version="1.0" encoding="UTF-8"?><Relationships xmlns="http://schemas.openxmlformats.org/package/2006/relationships"><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 Type="http://schemas.openxmlformats.org/officeDocument/2006/relationships/hyperlink" Id="rId49" Target="notebooks/noise-plo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2025-08-19T12:47:09Z</dcterms:created>
  <dcterms:modified xsi:type="dcterms:W3CDTF">2025-08-19T12:47:09Z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