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48V蓄电池充电器使用说明</w:t>
      </w:r>
    </w:p>
    <w:p>
      <w:pPr>
        <w:jc w:val="center"/>
        <w:rPr>
          <w:rFonts w:hint="eastAsia" w:ascii="黑体" w:hAnsi="黑体" w:eastAsia="黑体" w:cs="黑体"/>
          <w:sz w:val="44"/>
          <w:szCs w:val="4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400" w:lineRule="exact"/>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标准三段式</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400" w:lineRule="exact"/>
        <w:jc w:val="lef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涓流阶段：涓流充电用于当前电瓶过度放电造成的电压远低于电瓶最低放电电压的场景，启用涓流充电缓慢恢复电池蓄电能力。充电电流取值区间为：</w:t>
      </w:r>
      <w:r>
        <w:rPr>
          <w:rFonts w:hint="eastAsia" w:ascii="宋体" w:hAnsi="宋体" w:eastAsia="宋体" w:cs="宋体"/>
          <w:sz w:val="30"/>
          <w:szCs w:val="30"/>
          <w:lang w:val="en-US" w:eastAsia="zh-CN"/>
        </w:rPr>
        <w:br w:type="textWrapping"/>
      </w:r>
      <m:oMathPara>
        <m:oMath>
          <m:r>
            <m:rPr>
              <m:sty m:val="p"/>
            </m:rPr>
            <w:rPr>
              <w:rFonts w:hint="default" w:ascii="Cambria Math" w:hAnsi="Cambria Math" w:eastAsia="宋体" w:cs="宋体"/>
              <w:kern w:val="2"/>
              <w:sz w:val="30"/>
              <w:szCs w:val="30"/>
              <w:lang w:val="en-US" w:eastAsia="zh-CN" w:bidi="ar-SA"/>
            </w:rPr>
            <m:t>T_Current = BCapacity ∗[0.10C~0.15</m:t>
          </m:r>
          <m:r>
            <m:rPr>
              <m:sty m:val="p"/>
            </m:rPr>
            <w:rPr>
              <w:rFonts w:hint="eastAsia" w:ascii="Cambria Math" w:hAnsi="Cambria Math" w:eastAsia="宋体" w:cs="宋体"/>
              <w:kern w:val="2"/>
              <w:sz w:val="30"/>
              <w:szCs w:val="30"/>
              <w:lang w:val="en-US" w:eastAsia="zh-CN" w:bidi="ar-SA"/>
            </w:rPr>
            <m:t>C</m:t>
          </m:r>
          <m:r>
            <m:rPr>
              <m:sty m:val="p"/>
            </m:rPr>
            <w:rPr>
              <w:rFonts w:hint="default" w:ascii="Cambria Math" w:hAnsi="Cambria Math" w:eastAsia="宋体" w:cs="宋体"/>
              <w:kern w:val="2"/>
              <w:sz w:val="30"/>
              <w:szCs w:val="30"/>
              <w:lang w:val="en-US" w:eastAsia="zh-CN" w:bidi="ar-SA"/>
            </w:rPr>
            <m:t>)</m:t>
          </m:r>
        </m:oMath>
      </m:oMathPara>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恒流阶段：恒流充电是充电阶段的关键，蓄电池</w:t>
      </w:r>
      <m:oMath>
        <m:r>
          <m:rPr>
            <m:sty m:val="p"/>
          </m:rPr>
          <w:rPr>
            <w:rFonts w:hint="default" w:ascii="Cambria Math" w:hAnsi="Cambria Math" w:eastAsia="宋体" w:cs="宋体"/>
            <w:kern w:val="2"/>
            <w:sz w:val="30"/>
            <w:szCs w:val="30"/>
            <w:lang w:val="en-US" w:eastAsia="zh-CN" w:bidi="ar-SA"/>
          </w:rPr>
          <m:t>80%</m:t>
        </m:r>
      </m:oMath>
      <w:r>
        <w:rPr>
          <w:rFonts w:hint="eastAsia" w:ascii="宋体" w:hAnsi="宋体" w:eastAsia="宋体" w:cs="宋体"/>
          <w:sz w:val="30"/>
          <w:szCs w:val="30"/>
          <w:lang w:val="en-US" w:eastAsia="zh-CN"/>
        </w:rPr>
        <w:t>充电周期将处于此阶段。恒流阶段分为标准恒流和快速恒流充电。充电电流取值区间分别为：</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left"/>
        <w:textAlignment w:val="auto"/>
        <m:rPr/>
        <w:rPr>
          <w:rFonts w:hint="default" w:hAnsi="Cambria Math" w:eastAsia="宋体" w:cs="宋体"/>
          <w:kern w:val="2"/>
          <w:sz w:val="30"/>
          <w:szCs w:val="30"/>
          <w:lang w:val="en-US" w:eastAsia="zh-CN" w:bidi="ar-SA"/>
        </w:rPr>
      </w:pPr>
      <m:oMathPara>
        <m:oMathParaPr>
          <m:jc m:val="center"/>
        </m:oMathParaPr>
        <m:oMath>
          <m:r>
            <m:rPr>
              <m:sty m:val="p"/>
            </m:rPr>
            <w:rPr>
              <w:rFonts w:hint="default" w:ascii="Cambria Math" w:hAnsi="Cambria Math" w:eastAsia="宋体" w:cs="宋体"/>
              <w:kern w:val="2"/>
              <w:sz w:val="30"/>
              <w:szCs w:val="30"/>
              <w:lang w:val="en-US" w:eastAsia="zh-CN" w:bidi="ar-SA"/>
            </w:rPr>
            <m:t>CC_S</m:t>
          </m:r>
          <m:r>
            <m:rPr>
              <m:sty m:val="p"/>
            </m:rPr>
            <w:rPr>
              <w:rFonts w:hint="eastAsia" w:ascii="Cambria Math" w:hAnsi="Cambria Math" w:eastAsia="宋体" w:cs="宋体"/>
              <w:kern w:val="2"/>
              <w:sz w:val="30"/>
              <w:szCs w:val="30"/>
              <w:lang w:val="en-US" w:eastAsia="zh-CN" w:bidi="ar-SA"/>
            </w:rPr>
            <m:t>C</m:t>
          </m:r>
          <m:r>
            <m:rPr>
              <m:sty m:val="p"/>
            </m:rPr>
            <w:rPr>
              <w:rFonts w:hint="default" w:ascii="Cambria Math" w:hAnsi="Cambria Math" w:eastAsia="宋体" w:cs="宋体"/>
              <w:kern w:val="2"/>
              <w:sz w:val="30"/>
              <w:szCs w:val="30"/>
              <w:lang w:val="en-US" w:eastAsia="zh-CN" w:bidi="ar-SA"/>
            </w:rPr>
            <m:t>urrent = BCapacity ∗ [0.15C~0.25C)</m:t>
          </m:r>
        </m:oMath>
      </m:oMathPara>
    </w:p>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m:rPr/>
        <w:rPr>
          <w:rFonts w:hint="default" w:hAnsi="Cambria Math" w:eastAsia="宋体" w:cs="宋体"/>
          <w:i w:val="0"/>
          <w:kern w:val="2"/>
          <w:sz w:val="30"/>
          <w:szCs w:val="30"/>
          <w:lang w:val="en-US" w:eastAsia="zh-CN" w:bidi="ar-SA"/>
        </w:rPr>
      </w:pPr>
      <m:oMathPara>
        <m:oMathParaPr>
          <m:jc m:val="center"/>
        </m:oMathParaPr>
        <m:oMath>
          <m:r>
            <m:rPr>
              <m:sty m:val="p"/>
            </m:rPr>
            <w:rPr>
              <w:rFonts w:hint="default" w:ascii="Cambria Math" w:hAnsi="Cambria Math" w:eastAsia="宋体" w:cs="宋体"/>
              <w:kern w:val="2"/>
              <w:sz w:val="30"/>
              <w:szCs w:val="30"/>
              <w:lang w:val="en-US" w:eastAsia="zh-CN" w:bidi="ar-SA"/>
            </w:rPr>
            <m:t>CC_QCurrent = BCapacity ∗ [0.25C~0.30C)</m:t>
          </m:r>
        </m:oMath>
      </m:oMathPara>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line="400" w:lineRule="exact"/>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恒压阶段：恒压充电作为恒流的补充阶段，充电过程中与恒流交替进行，直至充电结束。</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left"/>
        <w:textAlignment w:val="auto"/>
        <w:rPr>
          <w:rFonts w:hint="default" w:ascii="宋体" w:hAnsi="宋体" w:eastAsia="宋体" w:cs="宋体"/>
          <w:sz w:val="30"/>
          <w:szCs w:val="30"/>
          <w:lang w:val="en-US" w:eastAsia="zh-CN"/>
        </w:rPr>
      </w:pPr>
      <m:oMathPara>
        <m:oMath>
          <m:r>
            <m:rPr>
              <m:sty m:val="p"/>
            </m:rPr>
            <w:rPr>
              <w:rFonts w:hint="default" w:ascii="Cambria Math" w:hAnsi="Cambria Math" w:eastAsia="宋体" w:cs="宋体"/>
              <w:kern w:val="2"/>
              <w:sz w:val="30"/>
              <w:szCs w:val="30"/>
              <w:lang w:val="en-US" w:eastAsia="zh-CN" w:bidi="ar-SA"/>
            </w:rPr>
            <m:t>CV_Current = BCapcity ∗ [0.09C~0.10C)</m:t>
          </m:r>
        </m:oMath>
      </m:oMathPara>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400" w:lineRule="exact"/>
        <w:ind w:left="0" w:leftChars="0" w:firstLine="0" w:firstLineChars="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相关技术标准</w:t>
      </w:r>
    </w:p>
    <w:p>
      <w:pPr>
        <w:keepNext w:val="0"/>
        <w:keepLines w:val="0"/>
        <w:pageBreakBefore w:val="0"/>
        <w:widowControl w:val="0"/>
        <w:numPr>
          <w:ilvl w:val="0"/>
          <w:numId w:val="4"/>
        </w:numPr>
        <w:kinsoku/>
        <w:wordWrap/>
        <w:overflowPunct/>
        <w:topLinePunct w:val="0"/>
        <w:autoSpaceDE/>
        <w:autoSpaceDN/>
        <w:bidi w:val="0"/>
        <w:adjustRightInd/>
        <w:snapToGrid/>
        <w:spacing w:before="313" w:beforeLines="100" w:after="313" w:afterLines="100" w:line="400" w:lineRule="exact"/>
        <w:jc w:val="lef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蓄电池按单元基础充电的标准</w:t>
      </w:r>
    </w:p>
    <w:tbl>
      <w:tblPr>
        <w:tblStyle w:val="3"/>
        <w:tblW w:w="8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07"/>
        <w:gridCol w:w="2091"/>
        <w:gridCol w:w="2036"/>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97" w:type="dxa"/>
            <w:gridSpan w:val="4"/>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基本单元充、放电参数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07"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Max(充电终止电压)</w:t>
            </w:r>
          </w:p>
        </w:tc>
        <w:tc>
          <w:tcPr>
            <w:tcW w:w="2091"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正常充电电压</w:t>
            </w:r>
          </w:p>
        </w:tc>
        <w:tc>
          <w:tcPr>
            <w:tcW w:w="2036"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Min(放电电压)</w:t>
            </w:r>
          </w:p>
        </w:tc>
        <w:tc>
          <w:tcPr>
            <w:tcW w:w="2063"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07"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&lt;2.7V/</w:t>
            </w:r>
            <w:r>
              <w:rPr>
                <w:rFonts w:hint="eastAsia" w:ascii="宋体" w:hAnsi="宋体" w:eastAsia="宋体" w:cs="宋体"/>
                <w:sz w:val="24"/>
                <w:szCs w:val="24"/>
                <w:vertAlign w:val="baseline"/>
                <w:lang w:val="en-US" w:eastAsia="zh-CN"/>
              </w:rPr>
              <w:t>个</w:t>
            </w:r>
          </w:p>
        </w:tc>
        <w:tc>
          <w:tcPr>
            <w:tcW w:w="2091"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color w:val="FF0000"/>
                <w:sz w:val="24"/>
                <w:szCs w:val="24"/>
                <w:vertAlign w:val="baseline"/>
                <w:lang w:val="en-US" w:eastAsia="zh-CN"/>
              </w:rPr>
              <w:t>&lt;=2.4V/个</w:t>
            </w:r>
          </w:p>
        </w:tc>
        <w:tc>
          <w:tcPr>
            <w:tcW w:w="2036"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color w:val="FF0000"/>
                <w:sz w:val="24"/>
                <w:szCs w:val="24"/>
                <w:vertAlign w:val="baseline"/>
                <w:lang w:val="en-US" w:eastAsia="zh-CN"/>
              </w:rPr>
              <w:t>&gt;=1.8V/个</w:t>
            </w:r>
          </w:p>
        </w:tc>
        <w:tc>
          <w:tcPr>
            <w:tcW w:w="2063"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充电终止电压仅做参考</w:t>
            </w:r>
          </w:p>
        </w:tc>
      </w:tr>
    </w:tbl>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说明：此参数标准用于区别非标准电压电瓶，设计参数选用后两个作为依据。特别注意，充电电压高于2.4V后，电化学反应将会加剧电解液中水的分解，造成电池容量下降，故充电时电压不应长时间高于该值。</w:t>
      </w:r>
    </w:p>
    <w:p>
      <w:pPr>
        <w:keepNext w:val="0"/>
        <w:keepLines w:val="0"/>
        <w:pageBreakBefore w:val="0"/>
        <w:widowControl w:val="0"/>
        <w:numPr>
          <w:numId w:val="0"/>
        </w:numPr>
        <w:kinsoku/>
        <w:wordWrap/>
        <w:overflowPunct/>
        <w:topLinePunct w:val="0"/>
        <w:autoSpaceDE/>
        <w:autoSpaceDN/>
        <w:bidi w:val="0"/>
        <w:adjustRightInd/>
        <w:snapToGrid/>
        <w:spacing w:before="313" w:beforeLines="100" w:after="313" w:afterLines="100" w:line="400" w:lineRule="exact"/>
        <w:jc w:val="lef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2、48V蓄电池单个、多体串联充电标准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单个48V蓄电池基础充、放电参数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8"/>
                <w:szCs w:val="28"/>
                <w:vertAlign w:val="baseline"/>
                <w:lang w:val="en-US" w:eastAsia="zh-CN"/>
              </w:rPr>
              <w:t>正常充电电压</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Min(放电电压）</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color w:val="FF0000"/>
                <w:sz w:val="24"/>
                <w:szCs w:val="24"/>
                <w:vertAlign w:val="baseline"/>
                <w:lang w:val="en-US" w:eastAsia="zh-CN"/>
              </w:rPr>
              <w:t>&lt;=57.6V/个</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color w:val="FF0000"/>
                <w:sz w:val="24"/>
                <w:szCs w:val="24"/>
                <w:vertAlign w:val="baseline"/>
                <w:lang w:val="en-US" w:eastAsia="zh-CN"/>
              </w:rPr>
              <w:t>&lt;=43.2V/个</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before="157" w:beforeLines="50" w:line="400" w:lineRule="exact"/>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按基础单元计，包含24个基本单元</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line="400" w:lineRule="exact"/>
        <w:ind w:left="0" w:leftChars="0" w:firstLine="0" w:firstLineChars="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基本参数设置</w:t>
      </w:r>
    </w:p>
    <w:p>
      <w:pPr>
        <w:keepNext w:val="0"/>
        <w:keepLines w:val="0"/>
        <w:pageBreakBefore w:val="0"/>
        <w:widowControl w:val="0"/>
        <w:numPr>
          <w:numId w:val="0"/>
        </w:numPr>
        <w:kinsoku/>
        <w:wordWrap/>
        <w:overflowPunct/>
        <w:topLinePunct w:val="0"/>
        <w:autoSpaceDE/>
        <w:autoSpaceDN/>
        <w:bidi w:val="0"/>
        <w:adjustRightInd/>
        <w:snapToGrid/>
        <w:spacing w:before="313" w:beforeLines="100" w:line="400" w:lineRule="exact"/>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标准单元格为2v，充满后为2-2.2V左右。</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before="313" w:beforeLines="100" w:line="400" w:lineRule="exact"/>
        <w:jc w:val="left"/>
        <w:textAlignment w:val="auto"/>
        <w:rPr>
          <w:rFonts w:hint="default" w:ascii="宋体" w:hAnsi="宋体" w:eastAsia="宋体" w:cs="宋体"/>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6E35D"/>
    <w:multiLevelType w:val="singleLevel"/>
    <w:tmpl w:val="8636E35D"/>
    <w:lvl w:ilvl="0" w:tentative="0">
      <w:start w:val="1"/>
      <w:numFmt w:val="chineseCounting"/>
      <w:suff w:val="nothing"/>
      <w:lvlText w:val="%1、"/>
      <w:lvlJc w:val="left"/>
      <w:rPr>
        <w:rFonts w:hint="eastAsia"/>
      </w:rPr>
    </w:lvl>
  </w:abstractNum>
  <w:abstractNum w:abstractNumId="1">
    <w:nsid w:val="8A74574A"/>
    <w:multiLevelType w:val="singleLevel"/>
    <w:tmpl w:val="8A74574A"/>
    <w:lvl w:ilvl="0" w:tentative="0">
      <w:start w:val="1"/>
      <w:numFmt w:val="decimal"/>
      <w:suff w:val="nothing"/>
      <w:lvlText w:val="%1、"/>
      <w:lvlJc w:val="left"/>
    </w:lvl>
  </w:abstractNum>
  <w:abstractNum w:abstractNumId="2">
    <w:nsid w:val="C8CC6183"/>
    <w:multiLevelType w:val="singleLevel"/>
    <w:tmpl w:val="C8CC6183"/>
    <w:lvl w:ilvl="0" w:tentative="0">
      <w:start w:val="1"/>
      <w:numFmt w:val="decimal"/>
      <w:suff w:val="nothing"/>
      <w:lvlText w:val="%1、"/>
      <w:lvlJc w:val="left"/>
    </w:lvl>
  </w:abstractNum>
  <w:abstractNum w:abstractNumId="3">
    <w:nsid w:val="6CF8FFC4"/>
    <w:multiLevelType w:val="singleLevel"/>
    <w:tmpl w:val="6CF8FFC4"/>
    <w:lvl w:ilvl="0" w:tentative="0">
      <w:start w:val="1"/>
      <w:numFmt w:val="decimal"/>
      <w:pStyle w:val="5"/>
      <w:suff w:val="nothing"/>
      <w:lvlText w:val="[%1]"/>
      <w:lvlJc w:val="left"/>
      <w:pPr>
        <w:ind w:left="0" w:firstLine="403"/>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59E7"/>
    <w:rsid w:val="05731480"/>
    <w:rsid w:val="067E27BC"/>
    <w:rsid w:val="10152707"/>
    <w:rsid w:val="1F147414"/>
    <w:rsid w:val="209F1E8A"/>
    <w:rsid w:val="255C4E5A"/>
    <w:rsid w:val="2B56123F"/>
    <w:rsid w:val="2FEB769A"/>
    <w:rsid w:val="32906B22"/>
    <w:rsid w:val="337A2F5D"/>
    <w:rsid w:val="37812EE9"/>
    <w:rsid w:val="38A73526"/>
    <w:rsid w:val="39B13A05"/>
    <w:rsid w:val="418334D2"/>
    <w:rsid w:val="434E3E10"/>
    <w:rsid w:val="434F19C1"/>
    <w:rsid w:val="46565C17"/>
    <w:rsid w:val="47DB561E"/>
    <w:rsid w:val="4AAC278A"/>
    <w:rsid w:val="4DB73798"/>
    <w:rsid w:val="534F5994"/>
    <w:rsid w:val="58622F02"/>
    <w:rsid w:val="5C11428A"/>
    <w:rsid w:val="5D1268BA"/>
    <w:rsid w:val="62EA06CD"/>
    <w:rsid w:val="6850182F"/>
    <w:rsid w:val="6B05755E"/>
    <w:rsid w:val="6B1B7326"/>
    <w:rsid w:val="6B3A0A59"/>
    <w:rsid w:val="6C514B71"/>
    <w:rsid w:val="772978C6"/>
    <w:rsid w:val="77974B20"/>
    <w:rsid w:val="7EC50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参考文献"/>
    <w:uiPriority w:val="0"/>
    <w:pPr>
      <w:numPr>
        <w:ilvl w:val="0"/>
        <w:numId w:val="1"/>
      </w:numPr>
      <w:spacing w:line="440" w:lineRule="exact"/>
      <w:ind w:firstLine="0"/>
      <w:jc w:val="left"/>
    </w:pPr>
    <w:rPr>
      <w:rFonts w:ascii="+西文正文" w:hAnsi="+西文正文" w:eastAsia="宋体" w:cstheme="minorEastAsia"/>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2021-05-07T00:25:00Z</dcterms:created>
  <dc:creator>Administrator</dc:creator>
  <cp:lastModifiedBy>Stephen</cp:lastModifiedBy>
  <dcterms:modified xsi:type="dcterms:W3CDTF">2021-08-01T15:56:01Z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FB2BC64ED6C54DA5842AE0615CB2335C</vt:lpwstr>
  </property>
</Properties>
</file>