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售后服务响应时效承诺</w:t>
      </w:r>
    </w:p>
    <w:p>
      <w:r>
        <w:t>文档编号：XL-PL-006　｜　版本：V2.1　｜　更新日期：2026-04-10</w:t>
      </w:r>
    </w:p>
    <w:p>
      <w:r>
        <w:t>适用范围：全系列产品　｜　发布单位：星澜智能科技有限公司</w:t>
      </w:r>
    </w:p>
    <w:p>
      <w:pPr>
        <w:pStyle w:val="Heading2"/>
      </w:pPr>
      <w:r>
        <w:t>1. 响应时效</w:t>
      </w:r>
    </w:p>
    <w:p>
      <w:pPr>
        <w:pStyle w:val="ListBullet"/>
      </w:pPr>
      <w:r>
        <w:t>客服热线 7×12 小时，平均接通小于 40 秒。</w:t>
      </w:r>
    </w:p>
    <w:p>
      <w:pPr>
        <w:pStyle w:val="ListBullet"/>
      </w:pPr>
      <w:r>
        <w:t>在线工单 2 小时内响应，24 小时内给出方案。</w:t>
      </w:r>
    </w:p>
    <w:p>
      <w:pPr>
        <w:pStyle w:val="Heading2"/>
      </w:pPr>
      <w:r>
        <w:t>2. 上门时效</w:t>
      </w:r>
    </w:p>
    <w:p>
      <w:pPr>
        <w:pStyle w:val="ListBullet"/>
      </w:pPr>
      <w:r>
        <w:t>城区 48 小时内上门；偏远地区 72 小时。</w:t>
      </w:r>
    </w:p>
    <w:p>
      <w:pPr>
        <w:pStyle w:val="ListBullet"/>
      </w:pPr>
      <w:r>
        <w:t>需调拨备件时，备件到货后 24 小时内预约。</w:t>
      </w:r>
    </w:p>
    <w:p>
      <w:pPr>
        <w:pStyle w:val="Heading2"/>
      </w:pPr>
      <w:r>
        <w:t>3. 升级机制</w:t>
      </w:r>
    </w:p>
    <w:p>
      <w:pPr>
        <w:pStyle w:val="ListBullet"/>
      </w:pPr>
      <w:r>
        <w:t>超时未解决可申请升级处理，由区域主管跟进回访。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