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产线异常处理流程</w:t>
      </w:r>
    </w:p>
    <w:p>
      <w:r>
        <w:t>文档编号：XL-QC-005　｜　版本：V2.1　｜　更新日期：2026-04-10</w:t>
      </w:r>
    </w:p>
    <w:p>
      <w:r>
        <w:t>发布单位：星澜智能科技有限公司</w:t>
      </w:r>
    </w:p>
    <w:p>
      <w:pPr>
        <w:pStyle w:val="Heading2"/>
      </w:pPr>
      <w:r>
        <w:t>1. 异常分级</w:t>
      </w:r>
    </w:p>
    <w:p>
      <w:pPr>
        <w:pStyle w:val="ListBullet"/>
      </w:pPr>
      <w:r>
        <w:t>A 类：安全隐患，立即停线。</w:t>
      </w:r>
    </w:p>
    <w:p>
      <w:pPr>
        <w:pStyle w:val="ListBullet"/>
      </w:pPr>
      <w:r>
        <w:t>B 类：功能不良率 &gt;2%，2 小时内定位。</w:t>
      </w:r>
    </w:p>
    <w:p>
      <w:pPr>
        <w:pStyle w:val="ListBullet"/>
      </w:pPr>
      <w:r>
        <w:t>C 类：外观不良，当班处理。</w:t>
      </w:r>
    </w:p>
    <w:p>
      <w:pPr>
        <w:pStyle w:val="Heading2"/>
      </w:pPr>
      <w:r>
        <w:t>2. 处理步骤</w:t>
      </w:r>
    </w:p>
    <w:p>
      <w:pPr>
        <w:pStyle w:val="ListBullet"/>
      </w:pPr>
      <w:r>
        <w:t>隔离不良品 → 记录批次 → 通知工艺与质量 → 出具纠正措施。</w:t>
      </w:r>
    </w:p>
    <w:p>
      <w:pPr>
        <w:pStyle w:val="Heading2"/>
      </w:pPr>
      <w:r>
        <w:t>3. 复盘要求</w:t>
      </w:r>
    </w:p>
    <w:p>
      <w:pPr>
        <w:pStyle w:val="ListBullet"/>
      </w:pPr>
      <w:r>
        <w:t>A/B 类异常需在 3 个工作日内提交 8D 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