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96AB7" w14:textId="07E659A9" w:rsidR="00A43C23" w:rsidRDefault="00625E2C" w:rsidP="00B21940">
      <w:pPr>
        <w:tabs>
          <w:tab w:val="left" w:pos="5953"/>
        </w:tabs>
        <w:rPr>
          <w:b/>
        </w:rPr>
      </w:pPr>
      <w:r>
        <w:rPr>
          <w:b/>
        </w:rPr>
        <w:t>2018 04 13</w:t>
      </w:r>
      <w:r w:rsidRPr="00B21940">
        <w:rPr>
          <w:b/>
        </w:rPr>
        <w:t xml:space="preserve"> Comments</w:t>
      </w:r>
      <w:r w:rsidR="00B21940" w:rsidRPr="00B21940">
        <w:rPr>
          <w:b/>
        </w:rPr>
        <w:t xml:space="preserve"> on last bunch of Equivalence classes</w:t>
      </w:r>
      <w:r w:rsidR="00B21940">
        <w:rPr>
          <w:b/>
        </w:rPr>
        <w:tab/>
      </w:r>
    </w:p>
    <w:p w14:paraId="187FB969" w14:textId="40547DC7" w:rsidR="00B21940" w:rsidRDefault="00B21940" w:rsidP="00B21940">
      <w:pPr>
        <w:tabs>
          <w:tab w:val="left" w:pos="5953"/>
        </w:tabs>
      </w:pPr>
    </w:p>
    <w:p w14:paraId="046A17FC" w14:textId="6F47BB19" w:rsidR="001A35C0" w:rsidRDefault="001A35C0" w:rsidP="00B21940">
      <w:pPr>
        <w:tabs>
          <w:tab w:val="left" w:pos="5953"/>
        </w:tabs>
      </w:pPr>
      <w:r>
        <w:t>Panels- should always be excluded</w:t>
      </w:r>
    </w:p>
    <w:p w14:paraId="45527EFE" w14:textId="77777777" w:rsidR="002C0FE8" w:rsidRDefault="002C0FE8" w:rsidP="002C0FE8">
      <w:pPr>
        <w:spacing w:after="0"/>
        <w:rPr>
          <w:b/>
        </w:rPr>
      </w:pPr>
      <w:r>
        <w:rPr>
          <w:b/>
        </w:rPr>
        <w:t>Equivalence scale of narrative and doc (the value will distinguish</w:t>
      </w:r>
      <w:r w:rsidRPr="00435464">
        <w:rPr>
          <w:b/>
          <w:highlight w:val="yellow"/>
        </w:rPr>
        <w:t>)  Probably should do equiv nar and doc within all classes</w:t>
      </w:r>
      <w:r>
        <w:rPr>
          <w:b/>
        </w:rPr>
        <w:t xml:space="preserve"> </w:t>
      </w:r>
    </w:p>
    <w:p w14:paraId="2DE1AA64" w14:textId="77777777" w:rsidR="002C0FE8" w:rsidRPr="00B51906" w:rsidRDefault="002C0FE8" w:rsidP="00B21940">
      <w:pPr>
        <w:tabs>
          <w:tab w:val="left" w:pos="5953"/>
        </w:tabs>
      </w:pPr>
    </w:p>
    <w:p w14:paraId="5A84D40A" w14:textId="13918B31" w:rsidR="006E51D0" w:rsidRPr="00AB264B" w:rsidRDefault="00231959" w:rsidP="00163D76">
      <w:pPr>
        <w:spacing w:after="0"/>
        <w:rPr>
          <w:b/>
          <w:sz w:val="28"/>
          <w:szCs w:val="28"/>
        </w:rPr>
      </w:pPr>
      <w:r>
        <w:br/>
      </w:r>
      <w:r w:rsidRPr="00AB264B">
        <w:rPr>
          <w:b/>
          <w:sz w:val="28"/>
          <w:szCs w:val="28"/>
        </w:rPr>
        <w:t xml:space="preserve">Allergy </w:t>
      </w:r>
    </w:p>
    <w:p w14:paraId="48974D07" w14:textId="3F934F85" w:rsidR="001A35C0" w:rsidRDefault="001A35C0" w:rsidP="001A35C0">
      <w:pPr>
        <w:pStyle w:val="ListParagraph"/>
        <w:numPr>
          <w:ilvl w:val="0"/>
          <w:numId w:val="4"/>
        </w:numPr>
      </w:pPr>
      <w:r>
        <w:t xml:space="preserve">System: </w:t>
      </w:r>
      <w:r w:rsidR="00231959" w:rsidRPr="00231959">
        <w:t>ser/plas/blood</w:t>
      </w:r>
      <w:r w:rsidR="00435464">
        <w:t>/WBC (t</w:t>
      </w:r>
      <w:r>
        <w:t>he component will also</w:t>
      </w:r>
      <w:r w:rsidR="00435464">
        <w:t xml:space="preserve"> </w:t>
      </w:r>
      <w:r>
        <w:t>distinguish</w:t>
      </w:r>
      <w:r w:rsidR="00CC10F3">
        <w:t xml:space="preserve"> </w:t>
      </w:r>
      <w:r>
        <w:t>the WBC test)</w:t>
      </w:r>
    </w:p>
    <w:p w14:paraId="7ECD92A8" w14:textId="2E5AEC58" w:rsidR="00667304" w:rsidRDefault="001A35C0" w:rsidP="001A35C0">
      <w:pPr>
        <w:pStyle w:val="ListParagraph"/>
        <w:numPr>
          <w:ilvl w:val="0"/>
          <w:numId w:val="4"/>
        </w:numPr>
      </w:pPr>
      <w:r>
        <w:t xml:space="preserve">Scale: </w:t>
      </w:r>
      <w:r w:rsidR="00667304">
        <w:t>Equivalence Ord and QN excep</w:t>
      </w:r>
      <w:r>
        <w:t xml:space="preserve">t when the word “RAST” appears in </w:t>
      </w:r>
      <w:r w:rsidR="00667304">
        <w:t xml:space="preserve">the component  </w:t>
      </w:r>
      <w:r>
        <w:t>(METHOD?)</w:t>
      </w:r>
    </w:p>
    <w:p w14:paraId="2F804459" w14:textId="6A52CA40" w:rsidR="00A02ECF" w:rsidRDefault="00CC10F3" w:rsidP="00A02ECF">
      <w:pPr>
        <w:pStyle w:val="ListParagraph"/>
        <w:numPr>
          <w:ilvl w:val="0"/>
          <w:numId w:val="2"/>
        </w:numPr>
        <w:spacing w:after="0"/>
      </w:pPr>
      <w:r>
        <w:t>Ignore all methods except multi disk</w:t>
      </w:r>
    </w:p>
    <w:p w14:paraId="0525EBBF" w14:textId="02EBB234" w:rsidR="00435594" w:rsidRDefault="00435594" w:rsidP="00435594">
      <w:pPr>
        <w:spacing w:after="0"/>
      </w:pPr>
    </w:p>
    <w:p w14:paraId="16F318C0" w14:textId="37FE698D" w:rsidR="00435594" w:rsidRDefault="00435594" w:rsidP="00435594">
      <w:pPr>
        <w:spacing w:after="0"/>
        <w:rPr>
          <w:b/>
          <w:sz w:val="28"/>
          <w:szCs w:val="28"/>
        </w:rPr>
      </w:pPr>
      <w:r w:rsidRPr="008A34F7">
        <w:rPr>
          <w:b/>
          <w:sz w:val="28"/>
          <w:szCs w:val="28"/>
        </w:rPr>
        <w:t>Antibiotic susceptibility</w:t>
      </w:r>
    </w:p>
    <w:p w14:paraId="1FE0FAAA" w14:textId="44CEAFC3" w:rsidR="001A24EF" w:rsidRDefault="001A24EF" w:rsidP="001A24EF">
      <w:pPr>
        <w:pStyle w:val="ListParagraph"/>
        <w:numPr>
          <w:ilvl w:val="0"/>
          <w:numId w:val="4"/>
        </w:numPr>
      </w:pPr>
      <w:r>
        <w:t>Property</w:t>
      </w:r>
      <w:r>
        <w:t>:</w:t>
      </w:r>
      <w:r>
        <w:t xml:space="preserve"> Titr, Susc</w:t>
      </w:r>
      <w:r>
        <w:t xml:space="preserve"> </w:t>
      </w:r>
    </w:p>
    <w:p w14:paraId="50712B50" w14:textId="02DA40FB" w:rsidR="00435594" w:rsidRDefault="001A24EF" w:rsidP="001A24EF">
      <w:pPr>
        <w:pStyle w:val="ListParagraph"/>
        <w:numPr>
          <w:ilvl w:val="0"/>
          <w:numId w:val="4"/>
        </w:numPr>
      </w:pPr>
      <w:r>
        <w:t xml:space="preserve">Method: equivalence all </w:t>
      </w:r>
      <w:r w:rsidR="00435594">
        <w:t xml:space="preserve">except genotyping, phenotyping, method for slow-growing </w:t>
      </w:r>
      <w:r>
        <w:t xml:space="preserve">mycobacteria, </w:t>
      </w:r>
      <w:r w:rsidR="00435594">
        <w:t>Prob.amptar</w:t>
      </w:r>
      <w:r>
        <w:t>,</w:t>
      </w:r>
      <w:r w:rsidR="00435594">
        <w:t xml:space="preserve"> and probe.mag.capture </w:t>
      </w:r>
    </w:p>
    <w:p w14:paraId="209782DE" w14:textId="77777777" w:rsidR="00435594" w:rsidRDefault="00435594" w:rsidP="00435594">
      <w:pPr>
        <w:spacing w:after="0"/>
      </w:pPr>
    </w:p>
    <w:p w14:paraId="6F843A37" w14:textId="77777777" w:rsidR="00435594" w:rsidRDefault="00435594" w:rsidP="00435594">
      <w:pPr>
        <w:spacing w:after="0"/>
      </w:pPr>
    </w:p>
    <w:p w14:paraId="3EBA3954" w14:textId="77777777" w:rsidR="00435594" w:rsidRDefault="00435594" w:rsidP="00435594">
      <w:pPr>
        <w:spacing w:after="0"/>
        <w:rPr>
          <w:b/>
          <w:sz w:val="28"/>
          <w:szCs w:val="28"/>
        </w:rPr>
      </w:pPr>
      <w:r w:rsidRPr="008A34F7">
        <w:rPr>
          <w:b/>
          <w:sz w:val="28"/>
          <w:szCs w:val="28"/>
        </w:rPr>
        <w:t xml:space="preserve">Blood bank </w:t>
      </w:r>
    </w:p>
    <w:p w14:paraId="7F82CBDD" w14:textId="6710892A" w:rsidR="00435594" w:rsidRPr="00753921" w:rsidRDefault="00435594" w:rsidP="00435594">
      <w:pPr>
        <w:spacing w:after="0"/>
      </w:pPr>
      <w:bookmarkStart w:id="0" w:name="_GoBack"/>
      <w:bookmarkEnd w:id="0"/>
      <w:r w:rsidRPr="00753921">
        <w:t>Don’t think we can do anything here</w:t>
      </w:r>
    </w:p>
    <w:p w14:paraId="27202333" w14:textId="77777777" w:rsidR="00435594" w:rsidRDefault="00435594" w:rsidP="00435594">
      <w:pPr>
        <w:spacing w:after="0"/>
      </w:pPr>
    </w:p>
    <w:p w14:paraId="687A002F" w14:textId="77777777" w:rsidR="001A35C0" w:rsidRPr="00516241" w:rsidRDefault="001A35C0" w:rsidP="001A35C0">
      <w:pPr>
        <w:spacing w:after="0"/>
      </w:pPr>
    </w:p>
    <w:p w14:paraId="6300D709" w14:textId="63F2C50E" w:rsidR="008800DE" w:rsidRPr="00163D76" w:rsidRDefault="00A02ECF" w:rsidP="0046308D">
      <w:pPr>
        <w:spacing w:after="0"/>
        <w:rPr>
          <w:b/>
          <w:sz w:val="28"/>
          <w:szCs w:val="28"/>
        </w:rPr>
      </w:pPr>
      <w:r w:rsidRPr="00AB264B">
        <w:rPr>
          <w:b/>
          <w:sz w:val="28"/>
          <w:szCs w:val="28"/>
        </w:rPr>
        <w:t>Cell</w:t>
      </w:r>
      <w:r w:rsidR="00163D76">
        <w:rPr>
          <w:b/>
          <w:sz w:val="28"/>
          <w:szCs w:val="28"/>
        </w:rPr>
        <w:t>mark</w:t>
      </w:r>
      <w:r w:rsidR="00BD0A25" w:rsidRPr="00AB264B">
        <w:rPr>
          <w:b/>
          <w:sz w:val="28"/>
          <w:szCs w:val="28"/>
        </w:rPr>
        <w:t xml:space="preserve"> </w:t>
      </w:r>
    </w:p>
    <w:p w14:paraId="324664AA" w14:textId="11B334F5" w:rsidR="008800DE" w:rsidRDefault="008800DE" w:rsidP="008800DE">
      <w:pPr>
        <w:pStyle w:val="ListParagraph"/>
        <w:numPr>
          <w:ilvl w:val="0"/>
          <w:numId w:val="2"/>
        </w:numPr>
        <w:spacing w:after="0"/>
      </w:pPr>
      <w:r>
        <w:t xml:space="preserve">Ignore methods </w:t>
      </w:r>
      <w:r w:rsidR="00163D76">
        <w:t>everywhere</w:t>
      </w:r>
      <w:r>
        <w:t xml:space="preserve"> ( had been worried about immune stains but almost all of them have Ag in the </w:t>
      </w:r>
      <w:r w:rsidR="001536FF">
        <w:t>c</w:t>
      </w:r>
      <w:r>
        <w:t>omponent name</w:t>
      </w:r>
      <w:r w:rsidR="001536FF">
        <w:t xml:space="preserve"> and that will distinguish them</w:t>
      </w:r>
      <w:r w:rsidR="00163D76">
        <w:t>)</w:t>
      </w:r>
    </w:p>
    <w:p w14:paraId="230352E7" w14:textId="29318FBF" w:rsidR="007038DF" w:rsidRDefault="007038DF" w:rsidP="008800DE">
      <w:pPr>
        <w:pStyle w:val="ListParagraph"/>
        <w:numPr>
          <w:ilvl w:val="0"/>
          <w:numId w:val="2"/>
        </w:numPr>
        <w:spacing w:after="0"/>
      </w:pPr>
      <w:r>
        <w:t>System: Intravascular - any</w:t>
      </w:r>
    </w:p>
    <w:p w14:paraId="32610DF3" w14:textId="10E2A4CF" w:rsidR="008800DE" w:rsidRDefault="008800DE" w:rsidP="00163D76">
      <w:pPr>
        <w:spacing w:after="0"/>
      </w:pPr>
    </w:p>
    <w:p w14:paraId="3BC73EED" w14:textId="77777777" w:rsidR="007038DF" w:rsidRDefault="00163D76" w:rsidP="00163D76">
      <w:pPr>
        <w:spacing w:after="0"/>
      </w:pPr>
      <w:r>
        <w:t>NOTE</w:t>
      </w:r>
      <w:r w:rsidR="007038DF">
        <w:t>s</w:t>
      </w:r>
      <w:r>
        <w:t xml:space="preserve"> TO RI: </w:t>
      </w:r>
    </w:p>
    <w:p w14:paraId="61D96061" w14:textId="74D75392" w:rsidR="00163D76" w:rsidRDefault="00163D76" w:rsidP="00163D76">
      <w:pPr>
        <w:spacing w:after="0"/>
      </w:pPr>
      <w:commentRangeStart w:id="1"/>
      <w:r w:rsidRPr="00C13483">
        <w:t>W</w:t>
      </w:r>
      <w:r>
        <w:t xml:space="preserve">hen we have time </w:t>
      </w:r>
      <w:r w:rsidRPr="00C13483">
        <w:t>should figure if the Blasts CDx/Blast cells really different from Cells CDx/Cells</w:t>
      </w:r>
      <w:commentRangeEnd w:id="1"/>
      <w:r>
        <w:rPr>
          <w:rStyle w:val="CommentReference"/>
        </w:rPr>
        <w:commentReference w:id="1"/>
      </w:r>
    </w:p>
    <w:p w14:paraId="0F1FB52F" w14:textId="77777777" w:rsidR="00886272" w:rsidRDefault="00886272" w:rsidP="0046308D">
      <w:pPr>
        <w:spacing w:after="0"/>
      </w:pPr>
    </w:p>
    <w:p w14:paraId="4E768372" w14:textId="453FF28D" w:rsidR="00A02ECF" w:rsidRDefault="00A02ECF" w:rsidP="0046308D">
      <w:pPr>
        <w:spacing w:after="0"/>
      </w:pPr>
      <w:commentRangeStart w:id="2"/>
      <w:r w:rsidRPr="00C13483">
        <w:t>Have we sorted out when the</w:t>
      </w:r>
      <w:r w:rsidR="008800DE">
        <w:t xml:space="preserve"> “100 cells” are really lymphocytes – and whether </w:t>
      </w:r>
      <w:r w:rsidR="007038DF">
        <w:t>the markers</w:t>
      </w:r>
      <w:r w:rsidR="008800DE">
        <w:t xml:space="preserve"> applied to blasts cells are ever not blasts- think they can be </w:t>
      </w:r>
    </w:p>
    <w:p w14:paraId="339D8F2C" w14:textId="77777777" w:rsidR="008800DE" w:rsidRPr="00C13483" w:rsidRDefault="008800DE" w:rsidP="0046308D">
      <w:pPr>
        <w:spacing w:after="0"/>
      </w:pPr>
    </w:p>
    <w:p w14:paraId="3E8A4DE5" w14:textId="4148E1B1" w:rsidR="00A02ECF" w:rsidRDefault="00A02ECF" w:rsidP="0046308D">
      <w:pPr>
        <w:spacing w:after="0"/>
      </w:pPr>
      <w:r w:rsidRPr="00C13483">
        <w:t>Should see if we can take advantage of panels. If there is not much overlap will provide a nice organization of flow sheet</w:t>
      </w:r>
    </w:p>
    <w:p w14:paraId="5ADB2BE6" w14:textId="77777777" w:rsidR="008800DE" w:rsidRDefault="008800DE" w:rsidP="0046308D">
      <w:pPr>
        <w:spacing w:after="0"/>
        <w:rPr>
          <w:b/>
        </w:rPr>
      </w:pPr>
    </w:p>
    <w:p w14:paraId="252FEB00" w14:textId="77777777" w:rsidR="008800DE" w:rsidRDefault="00AB75EF" w:rsidP="0046308D">
      <w:pPr>
        <w:spacing w:after="0"/>
        <w:rPr>
          <w:b/>
          <w:sz w:val="28"/>
          <w:szCs w:val="28"/>
        </w:rPr>
      </w:pPr>
      <w:r w:rsidRPr="00AB264B">
        <w:rPr>
          <w:b/>
          <w:sz w:val="28"/>
          <w:szCs w:val="28"/>
        </w:rPr>
        <w:t>Coag</w:t>
      </w:r>
      <w:commentRangeEnd w:id="2"/>
      <w:r w:rsidR="004243B8" w:rsidRPr="00AB264B">
        <w:rPr>
          <w:rStyle w:val="CommentReference"/>
          <w:sz w:val="28"/>
          <w:szCs w:val="28"/>
        </w:rPr>
        <w:commentReference w:id="2"/>
      </w:r>
    </w:p>
    <w:p w14:paraId="5CF60207" w14:textId="7B2B863D" w:rsidR="007038DF" w:rsidRDefault="007038DF" w:rsidP="007038DF">
      <w:pPr>
        <w:pStyle w:val="ListParagraph"/>
        <w:numPr>
          <w:ilvl w:val="0"/>
          <w:numId w:val="4"/>
        </w:numPr>
      </w:pPr>
      <w:r>
        <w:t xml:space="preserve">System: </w:t>
      </w:r>
      <w:r w:rsidRPr="00231959">
        <w:t>Equivalence ser</w:t>
      </w:r>
      <w:r w:rsidR="00E01182">
        <w:t>, plas, PPP, PRP, Ser/plas</w:t>
      </w:r>
    </w:p>
    <w:p w14:paraId="4FC9CC38" w14:textId="0DF1770D" w:rsidR="005F75F8" w:rsidRDefault="005F75F8" w:rsidP="007038DF">
      <w:pPr>
        <w:pStyle w:val="ListParagraph"/>
        <w:numPr>
          <w:ilvl w:val="0"/>
          <w:numId w:val="4"/>
        </w:numPr>
      </w:pPr>
      <w:r>
        <w:t>SuperSystem: preserve all</w:t>
      </w:r>
    </w:p>
    <w:p w14:paraId="5272863B" w14:textId="77777777" w:rsidR="002E08C7" w:rsidRDefault="005F75F8" w:rsidP="002E08C7">
      <w:pPr>
        <w:pStyle w:val="ListParagraph"/>
        <w:numPr>
          <w:ilvl w:val="0"/>
          <w:numId w:val="4"/>
        </w:numPr>
      </w:pPr>
      <w:r>
        <w:t xml:space="preserve">Method: </w:t>
      </w:r>
      <w:r w:rsidR="00F70A19">
        <w:t xml:space="preserve">equivalence </w:t>
      </w:r>
      <w:r w:rsidR="00AB264B">
        <w:t xml:space="preserve"> </w:t>
      </w:r>
      <w:r w:rsidR="00F70A19">
        <w:t>everything</w:t>
      </w:r>
      <w:r w:rsidR="00AB264B">
        <w:t xml:space="preserve"> except </w:t>
      </w:r>
      <w:r w:rsidR="002E08C7" w:rsidRPr="002E08C7">
        <w:t>Thromboelastography</w:t>
      </w:r>
    </w:p>
    <w:p w14:paraId="037966DD" w14:textId="16288439" w:rsidR="00F70A19" w:rsidRDefault="002E08C7" w:rsidP="002E08C7">
      <w:pPr>
        <w:pStyle w:val="ListParagraph"/>
        <w:numPr>
          <w:ilvl w:val="0"/>
          <w:numId w:val="4"/>
        </w:numPr>
      </w:pPr>
      <w:r>
        <w:t xml:space="preserve">Scale: </w:t>
      </w:r>
      <w:r w:rsidR="00F70A19">
        <w:t xml:space="preserve">treat them all the same--the content will speak for itself </w:t>
      </w:r>
    </w:p>
    <w:p w14:paraId="2B65401F" w14:textId="05DFAA32" w:rsidR="002E08C7" w:rsidRDefault="002E08C7" w:rsidP="002E08C7">
      <w:pPr>
        <w:pStyle w:val="ListParagraph"/>
        <w:numPr>
          <w:ilvl w:val="0"/>
          <w:numId w:val="4"/>
        </w:numPr>
      </w:pPr>
      <w:r>
        <w:t>Property: Pr, Titr, ACnc</w:t>
      </w:r>
    </w:p>
    <w:p w14:paraId="636BD81E" w14:textId="77777777" w:rsidR="00F70A19" w:rsidRDefault="00F70A19" w:rsidP="0046308D">
      <w:pPr>
        <w:spacing w:after="0"/>
      </w:pPr>
    </w:p>
    <w:p w14:paraId="3B4EDAB4" w14:textId="77777777" w:rsidR="00B27EF8" w:rsidRDefault="00B27EF8" w:rsidP="0046308D">
      <w:pPr>
        <w:spacing w:after="0"/>
      </w:pPr>
    </w:p>
    <w:p w14:paraId="5B290321" w14:textId="77777777" w:rsidR="00683403" w:rsidRDefault="00683403" w:rsidP="0046308D">
      <w:pPr>
        <w:spacing w:after="0"/>
      </w:pPr>
    </w:p>
    <w:p w14:paraId="4F69FDBA" w14:textId="45C7DA31" w:rsidR="00683403" w:rsidRDefault="00DA7A35" w:rsidP="0046308D">
      <w:pPr>
        <w:spacing w:after="0"/>
        <w:rPr>
          <w:b/>
          <w:sz w:val="28"/>
          <w:szCs w:val="28"/>
        </w:rPr>
      </w:pPr>
      <w:r w:rsidRPr="00F70A19">
        <w:rPr>
          <w:b/>
          <w:sz w:val="28"/>
          <w:szCs w:val="28"/>
        </w:rPr>
        <w:t>C</w:t>
      </w:r>
      <w:r w:rsidR="00683403" w:rsidRPr="00F70A19">
        <w:rPr>
          <w:b/>
          <w:sz w:val="28"/>
          <w:szCs w:val="28"/>
        </w:rPr>
        <w:t>ytology</w:t>
      </w:r>
    </w:p>
    <w:p w14:paraId="1F4FB1A0" w14:textId="5345AC37" w:rsidR="00F263C0" w:rsidRDefault="00F263C0" w:rsidP="00F263C0">
      <w:pPr>
        <w:pStyle w:val="ListParagraph"/>
        <w:numPr>
          <w:ilvl w:val="0"/>
          <w:numId w:val="4"/>
        </w:numPr>
      </w:pPr>
      <w:r>
        <w:t xml:space="preserve">Scale: </w:t>
      </w:r>
      <w:r>
        <w:t>nar, doc</w:t>
      </w:r>
      <w:r>
        <w:t xml:space="preserve"> </w:t>
      </w:r>
    </w:p>
    <w:p w14:paraId="00827B6B" w14:textId="7BABCB69" w:rsidR="00F263C0" w:rsidRDefault="00F263C0" w:rsidP="00F263C0">
      <w:pPr>
        <w:pStyle w:val="ListParagraph"/>
        <w:numPr>
          <w:ilvl w:val="0"/>
          <w:numId w:val="4"/>
        </w:numPr>
      </w:pPr>
      <w:r>
        <w:t>System: Genital-Female (</w:t>
      </w:r>
      <w:r w:rsidR="00435464">
        <w:t>Cvx/Vag with Vag and Cvx</w:t>
      </w:r>
      <w:r>
        <w:t>); Resp – Lower (Bal, Broncial, Bronchial brush, sputum)</w:t>
      </w:r>
    </w:p>
    <w:p w14:paraId="14E6FCF8" w14:textId="622109E6" w:rsidR="00FF6419" w:rsidRDefault="00F263C0" w:rsidP="00F263C0">
      <w:pPr>
        <w:pStyle w:val="ListParagraph"/>
        <w:numPr>
          <w:ilvl w:val="0"/>
          <w:numId w:val="4"/>
        </w:numPr>
      </w:pPr>
      <w:r>
        <w:t xml:space="preserve">Component: Microscopic observation, </w:t>
      </w:r>
      <w:r w:rsidR="00FF6419">
        <w:t>cytology report</w:t>
      </w:r>
      <w:r>
        <w:t xml:space="preserve"> </w:t>
      </w:r>
    </w:p>
    <w:p w14:paraId="57EBDDEB" w14:textId="77777777" w:rsidR="00A9027B" w:rsidRDefault="00A9027B" w:rsidP="0046308D">
      <w:pPr>
        <w:spacing w:after="0"/>
      </w:pPr>
    </w:p>
    <w:p w14:paraId="6A8DA9F7" w14:textId="77777777" w:rsidR="007E700B" w:rsidRPr="00AB264B" w:rsidRDefault="007E700B" w:rsidP="007E700B">
      <w:pPr>
        <w:tabs>
          <w:tab w:val="left" w:pos="5953"/>
        </w:tabs>
        <w:rPr>
          <w:b/>
          <w:sz w:val="28"/>
          <w:szCs w:val="28"/>
        </w:rPr>
      </w:pPr>
      <w:r w:rsidRPr="00AB264B">
        <w:rPr>
          <w:b/>
          <w:sz w:val="28"/>
          <w:szCs w:val="28"/>
        </w:rPr>
        <w:t xml:space="preserve">Drug dose </w:t>
      </w:r>
    </w:p>
    <w:p w14:paraId="57BE609D" w14:textId="77777777" w:rsidR="007E700B" w:rsidRDefault="007E700B" w:rsidP="007E700B">
      <w:r>
        <w:t xml:space="preserve">Fine as is.  </w:t>
      </w:r>
    </w:p>
    <w:p w14:paraId="23A0CAB8" w14:textId="77777777" w:rsidR="007E700B" w:rsidRDefault="007E700B" w:rsidP="00C74DD7">
      <w:pPr>
        <w:tabs>
          <w:tab w:val="left" w:pos="5953"/>
        </w:tabs>
        <w:rPr>
          <w:b/>
          <w:sz w:val="28"/>
          <w:szCs w:val="28"/>
        </w:rPr>
      </w:pPr>
    </w:p>
    <w:p w14:paraId="447FA175" w14:textId="3FDD30AA" w:rsidR="00C74DD7" w:rsidRPr="003E5812" w:rsidRDefault="00C74DD7" w:rsidP="00C74DD7">
      <w:pPr>
        <w:tabs>
          <w:tab w:val="left" w:pos="5953"/>
        </w:tabs>
        <w:rPr>
          <w:b/>
          <w:sz w:val="28"/>
          <w:szCs w:val="28"/>
        </w:rPr>
      </w:pPr>
      <w:r w:rsidRPr="00C74DD7">
        <w:rPr>
          <w:b/>
          <w:sz w:val="28"/>
          <w:szCs w:val="28"/>
        </w:rPr>
        <w:t xml:space="preserve">Fertility </w:t>
      </w:r>
    </w:p>
    <w:p w14:paraId="6F61EDCD" w14:textId="344829A2" w:rsidR="00C74DD7" w:rsidRDefault="003E5812" w:rsidP="00C74DD7">
      <w:pPr>
        <w:pStyle w:val="ListParagraph"/>
        <w:numPr>
          <w:ilvl w:val="0"/>
          <w:numId w:val="1"/>
        </w:numPr>
        <w:tabs>
          <w:tab w:val="left" w:pos="5953"/>
        </w:tabs>
      </w:pPr>
      <w:r>
        <w:t>Methods: equivalence all of them</w:t>
      </w:r>
      <w:r w:rsidR="00C74DD7">
        <w:t xml:space="preserve"> </w:t>
      </w:r>
    </w:p>
    <w:p w14:paraId="1AECCBAF" w14:textId="4F71F581" w:rsidR="00C74DD7" w:rsidRDefault="003E5812" w:rsidP="00C74DD7">
      <w:pPr>
        <w:pStyle w:val="ListParagraph"/>
        <w:numPr>
          <w:ilvl w:val="0"/>
          <w:numId w:val="1"/>
        </w:numPr>
        <w:tabs>
          <w:tab w:val="left" w:pos="5953"/>
        </w:tabs>
      </w:pPr>
      <w:r>
        <w:t>Scale: Ord, Qn</w:t>
      </w:r>
      <w:r w:rsidR="00C74DD7">
        <w:t xml:space="preserve"> </w:t>
      </w:r>
    </w:p>
    <w:p w14:paraId="61E444E8" w14:textId="5A6ADA87" w:rsidR="003E5812" w:rsidRDefault="003E5812" w:rsidP="00C74DD7">
      <w:pPr>
        <w:pStyle w:val="ListParagraph"/>
        <w:numPr>
          <w:ilvl w:val="0"/>
          <w:numId w:val="1"/>
        </w:numPr>
        <w:tabs>
          <w:tab w:val="left" w:pos="5953"/>
        </w:tabs>
      </w:pPr>
      <w:r>
        <w:t>Property: PrNCnc</w:t>
      </w:r>
    </w:p>
    <w:p w14:paraId="094EB5F2" w14:textId="4CC10705" w:rsidR="00C74DD7" w:rsidRDefault="00C74DD7" w:rsidP="007E700B">
      <w:pPr>
        <w:tabs>
          <w:tab w:val="left" w:pos="5953"/>
        </w:tabs>
      </w:pPr>
      <w:r>
        <w:t xml:space="preserve">Pay attention to classes. (for selected classes may want to order the variables the same way they are ordered in the class- with the class term in front. This won’t work when the classes contain many of the same terms </w:t>
      </w:r>
    </w:p>
    <w:p w14:paraId="243716CC" w14:textId="77777777" w:rsidR="007E700B" w:rsidRDefault="007E700B" w:rsidP="007E700B">
      <w:pPr>
        <w:tabs>
          <w:tab w:val="left" w:pos="5953"/>
        </w:tabs>
      </w:pPr>
    </w:p>
    <w:p w14:paraId="74227237" w14:textId="30187694" w:rsidR="00C74DD7" w:rsidRPr="00DC5C70" w:rsidRDefault="007E700B" w:rsidP="00DC5C70">
      <w:pPr>
        <w:tabs>
          <w:tab w:val="left" w:pos="595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Molpath</w:t>
      </w:r>
    </w:p>
    <w:p w14:paraId="6B33FE10" w14:textId="1FE8C196" w:rsidR="00CB5A5B" w:rsidRDefault="009D6886" w:rsidP="0046308D">
      <w:pPr>
        <w:spacing w:after="0"/>
      </w:pPr>
      <w:r>
        <w:t xml:space="preserve">For everything but </w:t>
      </w:r>
      <w:r w:rsidR="007E700B">
        <w:t>MolPath.Mi</w:t>
      </w:r>
      <w:r w:rsidR="00524D23">
        <w:t>sc</w:t>
      </w:r>
      <w:r w:rsidR="007E700B">
        <w:t>:</w:t>
      </w:r>
    </w:p>
    <w:p w14:paraId="44A69ED4" w14:textId="547560EC" w:rsidR="00CB5A5B" w:rsidRDefault="00DC5C70" w:rsidP="0046308D">
      <w:pPr>
        <w:spacing w:after="0"/>
      </w:pPr>
      <w:r>
        <w:t>System:</w:t>
      </w:r>
    </w:p>
    <w:p w14:paraId="4727FDF6" w14:textId="0CD68550" w:rsidR="00CB5A5B" w:rsidRDefault="00396AFB" w:rsidP="00CB5A5B">
      <w:pPr>
        <w:pStyle w:val="ListParagraph"/>
        <w:numPr>
          <w:ilvl w:val="0"/>
          <w:numId w:val="2"/>
        </w:numPr>
        <w:spacing w:after="0"/>
      </w:pPr>
      <w:r>
        <w:t>Amn: amniotic fluid, a</w:t>
      </w:r>
      <w:r w:rsidR="00CB5A5B">
        <w:t xml:space="preserve">mniotic fld/CVS, </w:t>
      </w:r>
      <w:r w:rsidR="008477E5">
        <w:t xml:space="preserve">CVS, </w:t>
      </w:r>
      <w:r w:rsidR="00CB5A5B">
        <w:t>Fetus</w:t>
      </w:r>
      <w:r w:rsidR="009D6886">
        <w:t>,</w:t>
      </w:r>
      <w:r>
        <w:t xml:space="preserve"> </w:t>
      </w:r>
      <w:r w:rsidR="00CB5A5B">
        <w:t>tiss/fetus</w:t>
      </w:r>
      <w:r>
        <w:t>, POC</w:t>
      </w:r>
    </w:p>
    <w:p w14:paraId="6446A320" w14:textId="00985F2A" w:rsidR="008477E5" w:rsidRDefault="000762DE" w:rsidP="00CB5A5B">
      <w:pPr>
        <w:pStyle w:val="ListParagraph"/>
        <w:numPr>
          <w:ilvl w:val="0"/>
          <w:numId w:val="2"/>
        </w:numPr>
        <w:spacing w:after="0"/>
      </w:pPr>
      <w:r>
        <w:t xml:space="preserve">Bld - </w:t>
      </w:r>
      <w:r w:rsidR="008477E5">
        <w:t xml:space="preserve">Bld, Bld/Tiss, </w:t>
      </w:r>
      <w:r>
        <w:t xml:space="preserve">Mar, BM (both are bone marrow), </w:t>
      </w:r>
      <w:r w:rsidR="008477E5">
        <w:t>buccal, cells.xxx</w:t>
      </w:r>
    </w:p>
    <w:p w14:paraId="04ECFDE3" w14:textId="78A9622D" w:rsidR="00CB5A5B" w:rsidRDefault="009D6886" w:rsidP="00CB5A5B">
      <w:pPr>
        <w:pStyle w:val="ListParagraph"/>
        <w:numPr>
          <w:ilvl w:val="0"/>
          <w:numId w:val="2"/>
        </w:numPr>
        <w:spacing w:after="0"/>
      </w:pPr>
      <w:r>
        <w:t>Keep the</w:t>
      </w:r>
      <w:r w:rsidR="008477E5">
        <w:t xml:space="preserve"> somatic specimens as </w:t>
      </w:r>
      <w:r w:rsidR="00817141">
        <w:t>is:</w:t>
      </w:r>
    </w:p>
    <w:p w14:paraId="12D4993A" w14:textId="4A29D925" w:rsidR="00CB5A5B" w:rsidRDefault="00CB5A5B" w:rsidP="009D6886">
      <w:pPr>
        <w:pStyle w:val="ListParagraph"/>
        <w:numPr>
          <w:ilvl w:val="1"/>
          <w:numId w:val="2"/>
        </w:numPr>
        <w:spacing w:after="0"/>
      </w:pPr>
      <w:r>
        <w:t>Colorectal cancer speci</w:t>
      </w:r>
      <w:r w:rsidR="00817141">
        <w:t>men (Keep aside</w:t>
      </w:r>
      <w:r>
        <w:t>)</w:t>
      </w:r>
      <w:r w:rsidR="008477E5">
        <w:t>---move to Molpath.Somatic</w:t>
      </w:r>
    </w:p>
    <w:p w14:paraId="0106FC8C" w14:textId="77777777" w:rsidR="008477E5" w:rsidRDefault="008477E5" w:rsidP="009D6886">
      <w:pPr>
        <w:pStyle w:val="ListParagraph"/>
        <w:numPr>
          <w:ilvl w:val="1"/>
          <w:numId w:val="2"/>
        </w:numPr>
        <w:spacing w:after="0"/>
      </w:pPr>
      <w:r>
        <w:t xml:space="preserve">Cancer specimen </w:t>
      </w:r>
    </w:p>
    <w:p w14:paraId="04133C5D" w14:textId="77777777" w:rsidR="008477E5" w:rsidRDefault="008477E5" w:rsidP="009D6886">
      <w:pPr>
        <w:pStyle w:val="ListParagraph"/>
        <w:numPr>
          <w:ilvl w:val="1"/>
          <w:numId w:val="2"/>
        </w:numPr>
        <w:spacing w:after="0"/>
      </w:pPr>
      <w:r>
        <w:t>Breast cancer specimen</w:t>
      </w:r>
    </w:p>
    <w:p w14:paraId="70FF636C" w14:textId="77777777" w:rsidR="008477E5" w:rsidRDefault="008477E5" w:rsidP="008477E5">
      <w:pPr>
        <w:pStyle w:val="ListParagraph"/>
        <w:numPr>
          <w:ilvl w:val="1"/>
          <w:numId w:val="2"/>
        </w:numPr>
        <w:spacing w:after="0"/>
      </w:pPr>
      <w:r>
        <w:t>Stool</w:t>
      </w:r>
    </w:p>
    <w:p w14:paraId="10960EF2" w14:textId="77777777" w:rsidR="008477E5" w:rsidRDefault="00664865" w:rsidP="00664865">
      <w:pPr>
        <w:pStyle w:val="ListParagraph"/>
        <w:numPr>
          <w:ilvl w:val="0"/>
          <w:numId w:val="2"/>
        </w:numPr>
        <w:spacing w:after="0"/>
      </w:pPr>
      <w:r>
        <w:t xml:space="preserve">Keep following specimens as is </w:t>
      </w:r>
    </w:p>
    <w:p w14:paraId="67C812EF" w14:textId="77777777" w:rsidR="008477E5" w:rsidRDefault="008477E5" w:rsidP="009D6886">
      <w:pPr>
        <w:pStyle w:val="ListParagraph"/>
        <w:numPr>
          <w:ilvl w:val="1"/>
          <w:numId w:val="2"/>
        </w:numPr>
        <w:spacing w:after="0"/>
      </w:pPr>
      <w:r>
        <w:t>CSF</w:t>
      </w:r>
    </w:p>
    <w:p w14:paraId="018B3D6F" w14:textId="77777777" w:rsidR="00664865" w:rsidRDefault="00664865" w:rsidP="009D6886">
      <w:pPr>
        <w:pStyle w:val="ListParagraph"/>
        <w:numPr>
          <w:ilvl w:val="1"/>
          <w:numId w:val="2"/>
        </w:numPr>
        <w:spacing w:after="0"/>
      </w:pPr>
      <w:r>
        <w:t xml:space="preserve">Urine (somatic </w:t>
      </w:r>
    </w:p>
    <w:p w14:paraId="55C0804C" w14:textId="77777777" w:rsidR="008477E5" w:rsidRDefault="008477E5" w:rsidP="009D6886">
      <w:pPr>
        <w:pStyle w:val="ListParagraph"/>
        <w:numPr>
          <w:ilvl w:val="1"/>
          <w:numId w:val="2"/>
        </w:numPr>
        <w:spacing w:after="0"/>
      </w:pPr>
      <w:r>
        <w:t>Plas (? Only one test maybe could go in with bld etc</w:t>
      </w:r>
    </w:p>
    <w:p w14:paraId="5506CD8F" w14:textId="427C4BE4" w:rsidR="009D6886" w:rsidRDefault="009D6886" w:rsidP="009D6886">
      <w:pPr>
        <w:pStyle w:val="ListParagraph"/>
        <w:numPr>
          <w:ilvl w:val="0"/>
          <w:numId w:val="2"/>
        </w:numPr>
        <w:spacing w:after="0"/>
      </w:pPr>
      <w:r>
        <w:t>Keep Urine as</w:t>
      </w:r>
      <w:r w:rsidR="00664865">
        <w:t xml:space="preserve"> is ( germline)</w:t>
      </w:r>
      <w:r>
        <w:t xml:space="preserve"> </w:t>
      </w:r>
    </w:p>
    <w:p w14:paraId="0108C61D" w14:textId="77777777" w:rsidR="009D6886" w:rsidRDefault="009D6886" w:rsidP="009D6886">
      <w:pPr>
        <w:pStyle w:val="ListParagraph"/>
        <w:numPr>
          <w:ilvl w:val="1"/>
          <w:numId w:val="2"/>
        </w:numPr>
        <w:spacing w:after="0"/>
      </w:pPr>
      <w:r>
        <w:t>81842-7</w:t>
      </w:r>
      <w:r>
        <w:tab/>
        <w:t>BCKDHB gene targeted mutation analysis in Blood or Tissue by Molecular genetics method</w:t>
      </w:r>
    </w:p>
    <w:p w14:paraId="48A4EDDF" w14:textId="77777777" w:rsidR="009D6886" w:rsidRDefault="009D6886" w:rsidP="009D6886">
      <w:pPr>
        <w:pStyle w:val="ListParagraph"/>
        <w:numPr>
          <w:ilvl w:val="1"/>
          <w:numId w:val="2"/>
        </w:numPr>
        <w:spacing w:after="0"/>
      </w:pPr>
      <w:r>
        <w:t>82251-0</w:t>
      </w:r>
      <w:r>
        <w:tab/>
        <w:t>Chromosome 3 and 7 and 17 aneuploidy and chromosome region 9p21 deletion in Urine by FISH</w:t>
      </w:r>
    </w:p>
    <w:p w14:paraId="7A466BB6" w14:textId="77777777" w:rsidR="00664865" w:rsidRDefault="00664865" w:rsidP="00664865">
      <w:pPr>
        <w:pStyle w:val="ListParagraph"/>
        <w:numPr>
          <w:ilvl w:val="1"/>
          <w:numId w:val="2"/>
        </w:numPr>
        <w:spacing w:after="0"/>
      </w:pPr>
      <w:r>
        <w:t>56030-0</w:t>
      </w:r>
      <w:r>
        <w:tab/>
        <w:t>Karyotype [Identifier] in Urine by FISH Narrative</w:t>
      </w:r>
    </w:p>
    <w:p w14:paraId="7A9F1967" w14:textId="77777777" w:rsidR="00664865" w:rsidRDefault="00664865" w:rsidP="00664865">
      <w:pPr>
        <w:pStyle w:val="ListParagraph"/>
        <w:numPr>
          <w:ilvl w:val="1"/>
          <w:numId w:val="2"/>
        </w:numPr>
        <w:spacing w:after="0"/>
      </w:pPr>
      <w:r>
        <w:t>38471-9</w:t>
      </w:r>
      <w:r>
        <w:tab/>
        <w:t>Karyotype [Identifier] in Urine Nominal</w:t>
      </w:r>
    </w:p>
    <w:p w14:paraId="449E8106" w14:textId="77777777" w:rsidR="00664865" w:rsidRDefault="00664865" w:rsidP="00664865">
      <w:pPr>
        <w:pStyle w:val="ListParagraph"/>
        <w:spacing w:after="0"/>
        <w:ind w:left="1440"/>
      </w:pPr>
    </w:p>
    <w:p w14:paraId="0FC89FB8" w14:textId="20AE67DF" w:rsidR="009D6886" w:rsidRDefault="009D6886" w:rsidP="00817141">
      <w:pPr>
        <w:spacing w:after="0"/>
      </w:pPr>
      <w:r>
        <w:t>The above are fetal abnormalities that have been detecte</w:t>
      </w:r>
      <w:r w:rsidR="00664865">
        <w:t>d</w:t>
      </w:r>
      <w:r>
        <w:t xml:space="preserve"> ( I think) In </w:t>
      </w:r>
      <w:r w:rsidR="008477E5">
        <w:t xml:space="preserve">newborn’s urine but not elsewhere. Assumed to be a mosaic </w:t>
      </w:r>
      <w:r w:rsidR="00817141">
        <w:t>ba</w:t>
      </w:r>
      <w:r>
        <w:t>sed on one or more studies that</w:t>
      </w:r>
      <w:r w:rsidR="00817141">
        <w:t xml:space="preserve"> found a fetal trisomy in the m</w:t>
      </w:r>
      <w:r>
        <w:t>other</w:t>
      </w:r>
      <w:r w:rsidR="00817141">
        <w:t>’s</w:t>
      </w:r>
      <w:r>
        <w:t xml:space="preserve"> urine but </w:t>
      </w:r>
      <w:r w:rsidR="00817141">
        <w:t>nowhere</w:t>
      </w:r>
      <w:r>
        <w:t xml:space="preserve"> else </w:t>
      </w:r>
      <w:r w:rsidR="00817141">
        <w:t>(</w:t>
      </w:r>
      <w:r>
        <w:t>Clinical Genetics 1988: 34: 135-139</w:t>
      </w:r>
      <w:r w:rsidR="00817141">
        <w:t>)</w:t>
      </w:r>
      <w:r w:rsidR="008477E5">
        <w:t xml:space="preserve">. But it was </w:t>
      </w:r>
      <w:r w:rsidR="00817141">
        <w:t>not literally</w:t>
      </w:r>
      <w:r w:rsidR="008477E5">
        <w:t xml:space="preserve"> urine that was tested by cells in the sediment that were cultured. This was an old paper so it may not b</w:t>
      </w:r>
      <w:r w:rsidR="00817141">
        <w:t>e necessary to culture them anymore</w:t>
      </w:r>
      <w:r w:rsidR="008477E5">
        <w:t xml:space="preserve"> </w:t>
      </w:r>
    </w:p>
    <w:p w14:paraId="1EA415D6" w14:textId="77777777" w:rsidR="009D6886" w:rsidRDefault="009D6886" w:rsidP="009D6886">
      <w:pPr>
        <w:spacing w:after="0"/>
        <w:ind w:left="1080"/>
      </w:pPr>
    </w:p>
    <w:p w14:paraId="17E66ADE" w14:textId="77777777" w:rsidR="009D6886" w:rsidRDefault="009D6886" w:rsidP="00435464">
      <w:pPr>
        <w:spacing w:after="0"/>
      </w:pPr>
    </w:p>
    <w:p w14:paraId="4407CC10" w14:textId="77777777" w:rsidR="009D6886" w:rsidRDefault="009D6886" w:rsidP="00C72CE6">
      <w:pPr>
        <w:spacing w:after="0"/>
      </w:pPr>
      <w:r w:rsidRPr="009D6886">
        <w:rPr>
          <w:highlight w:val="yellow"/>
        </w:rPr>
        <w:t>Shenno  will thinking about this heirarch—we should have  a separate molpath.somatic branch where we could put the somatic mutations</w:t>
      </w:r>
    </w:p>
    <w:p w14:paraId="7A2C6756" w14:textId="77777777" w:rsidR="009D6886" w:rsidRDefault="009D6886" w:rsidP="009D6886">
      <w:pPr>
        <w:spacing w:after="0"/>
      </w:pPr>
    </w:p>
    <w:p w14:paraId="1485532B" w14:textId="77777777" w:rsidR="00AE3FBF" w:rsidRDefault="00AE3FBF" w:rsidP="0046308D">
      <w:pPr>
        <w:spacing w:after="0"/>
      </w:pPr>
    </w:p>
    <w:p w14:paraId="59D45516" w14:textId="77777777" w:rsidR="00AE3FBF" w:rsidRDefault="00AE3FBF" w:rsidP="0046308D">
      <w:pPr>
        <w:spacing w:after="0"/>
      </w:pPr>
      <w:r>
        <w:t>Molpath.Mut which should be n Molpath.Nucrepeat</w:t>
      </w:r>
      <w:r w:rsidR="001536FF">
        <w:t xml:space="preserve"> – sent this correction to RI and they have made it next release </w:t>
      </w:r>
    </w:p>
    <w:p w14:paraId="41D11D3C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57990-4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KRIT1 gene mutations found [Identifier] in Blood or Tissue by Molecular genetics method Nominal</w:t>
      </w:r>
    </w:p>
    <w:p w14:paraId="0E5B6463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53782-9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HTT gene CAG repeats [Entitic number] in Blood or Tissue by Molecular genetics method</w:t>
      </w:r>
    </w:p>
    <w:p w14:paraId="6326D86B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82139-7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LRRK2 gene Arg1441Gly and Gly2019Ser targeted mutation analysis in Blood or Tissue by Molecular genetics method</w:t>
      </w:r>
    </w:p>
    <w:p w14:paraId="64497263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53876-9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LRRK2 gene mutations found [Identifier] in Blood or Tissue by Molecular genetics method Nominal</w:t>
      </w:r>
    </w:p>
    <w:p w14:paraId="70B620EB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35374-8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DMPK gene allele 2 CTG repeats [Presence] in Blood or Tissue by Molecular genetics method</w:t>
      </w:r>
    </w:p>
    <w:p w14:paraId="1619D93A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35375-5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DMPK gene allele 1 CTG repeats [Presence] in Blood or Tissue by Molecular genetics method</w:t>
      </w:r>
    </w:p>
    <w:p w14:paraId="78AF314D" w14:textId="77777777" w:rsidR="00AE3FBF" w:rsidRPr="001536FF" w:rsidRDefault="00AE3FBF" w:rsidP="00AE3FBF">
      <w:pPr>
        <w:spacing w:after="0"/>
        <w:rPr>
          <w:sz w:val="18"/>
          <w:szCs w:val="18"/>
          <w:highlight w:val="yellow"/>
        </w:rPr>
      </w:pPr>
      <w:r w:rsidRPr="001536FF">
        <w:rPr>
          <w:sz w:val="18"/>
          <w:szCs w:val="18"/>
          <w:highlight w:val="yellow"/>
        </w:rPr>
        <w:t>75393-9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HTT gene CAG repeats [Presence] in Amniotic fluid or Chorionic villus sample by Molecular genetics method</w:t>
      </w:r>
    </w:p>
    <w:p w14:paraId="74034FC1" w14:textId="77777777" w:rsidR="00AE3FBF" w:rsidRPr="00AE3FBF" w:rsidRDefault="00AE3FBF" w:rsidP="00AE3FBF">
      <w:pPr>
        <w:spacing w:after="0"/>
        <w:rPr>
          <w:sz w:val="18"/>
          <w:szCs w:val="18"/>
        </w:rPr>
      </w:pPr>
      <w:r w:rsidRPr="001536FF">
        <w:rPr>
          <w:sz w:val="18"/>
          <w:szCs w:val="18"/>
          <w:highlight w:val="yellow"/>
        </w:rPr>
        <w:t>75392-1</w:t>
      </w:r>
      <w:r w:rsidRPr="001536FF">
        <w:rPr>
          <w:sz w:val="18"/>
          <w:szCs w:val="18"/>
          <w:highlight w:val="yellow"/>
        </w:rPr>
        <w:tab/>
        <w:t>MOLPATH.MUT</w:t>
      </w:r>
      <w:r w:rsidRPr="001536FF">
        <w:rPr>
          <w:sz w:val="18"/>
          <w:szCs w:val="18"/>
          <w:highlight w:val="yellow"/>
        </w:rPr>
        <w:tab/>
        <w:t>FXN gene GAA repeats [Presence] in Amniotic fluid or Chorionic villus sample by Molecular genetics method</w:t>
      </w:r>
      <w:r w:rsidR="001536FF">
        <w:rPr>
          <w:sz w:val="18"/>
          <w:szCs w:val="18"/>
        </w:rPr>
        <w:t xml:space="preserve"> </w:t>
      </w:r>
    </w:p>
    <w:p w14:paraId="3E1797D3" w14:textId="77777777" w:rsidR="00AE3FBF" w:rsidRPr="00AE3FBF" w:rsidRDefault="00AE3FBF" w:rsidP="0046308D">
      <w:pPr>
        <w:spacing w:after="0"/>
        <w:rPr>
          <w:sz w:val="18"/>
          <w:szCs w:val="18"/>
        </w:rPr>
      </w:pPr>
    </w:p>
    <w:p w14:paraId="2A28451B" w14:textId="77777777" w:rsidR="00BD0A25" w:rsidRDefault="00BD0A25" w:rsidP="0046308D">
      <w:pPr>
        <w:spacing w:after="0"/>
      </w:pPr>
    </w:p>
    <w:p w14:paraId="65EFF346" w14:textId="77777777" w:rsidR="00BD0A25" w:rsidRPr="001536FF" w:rsidRDefault="00BD0A25" w:rsidP="0046308D">
      <w:pPr>
        <w:spacing w:after="0"/>
        <w:rPr>
          <w:highlight w:val="yellow"/>
        </w:rPr>
      </w:pPr>
      <w:r w:rsidRPr="001536FF">
        <w:rPr>
          <w:highlight w:val="yellow"/>
        </w:rPr>
        <w:t xml:space="preserve">A </w:t>
      </w:r>
      <w:r w:rsidR="0091784C" w:rsidRPr="001536FF">
        <w:rPr>
          <w:highlight w:val="yellow"/>
        </w:rPr>
        <w:t>few molpat</w:t>
      </w:r>
      <w:r w:rsidR="001536FF" w:rsidRPr="001536FF">
        <w:rPr>
          <w:highlight w:val="yellow"/>
        </w:rPr>
        <w:t>h</w:t>
      </w:r>
      <w:r w:rsidR="0091784C" w:rsidRPr="001536FF">
        <w:rPr>
          <w:highlight w:val="yellow"/>
        </w:rPr>
        <w:t>.mut are cyp gens and s</w:t>
      </w:r>
      <w:r w:rsidRPr="001536FF">
        <w:rPr>
          <w:highlight w:val="yellow"/>
        </w:rPr>
        <w:t>hould</w:t>
      </w:r>
      <w:r w:rsidR="0091784C" w:rsidRPr="001536FF">
        <w:rPr>
          <w:highlight w:val="yellow"/>
        </w:rPr>
        <w:t xml:space="preserve"> </w:t>
      </w:r>
      <w:r w:rsidRPr="001536FF">
        <w:rPr>
          <w:highlight w:val="yellow"/>
        </w:rPr>
        <w:t>probably be moved to Molpath.pharm class . Some are somatic where the specimen matters- might want to put them in their own clas</w:t>
      </w:r>
      <w:r w:rsidR="0091784C" w:rsidRPr="001536FF">
        <w:rPr>
          <w:highlight w:val="yellow"/>
        </w:rPr>
        <w:t>s, but… the terms coming in from the Campbells are not organ specific</w:t>
      </w:r>
    </w:p>
    <w:p w14:paraId="4154B5CC" w14:textId="77777777" w:rsidR="0091784C" w:rsidRPr="001536FF" w:rsidRDefault="0091784C" w:rsidP="0046308D">
      <w:pPr>
        <w:spacing w:after="0"/>
        <w:rPr>
          <w:highlight w:val="yellow"/>
        </w:rPr>
      </w:pPr>
    </w:p>
    <w:p w14:paraId="69CF2621" w14:textId="77777777" w:rsidR="00BD0A25" w:rsidRPr="00CC26BF" w:rsidRDefault="00AE3FBF" w:rsidP="0046308D">
      <w:pPr>
        <w:spacing w:after="0"/>
        <w:rPr>
          <w:sz w:val="28"/>
          <w:szCs w:val="28"/>
        </w:rPr>
      </w:pPr>
      <w:r w:rsidRPr="001536FF">
        <w:rPr>
          <w:highlight w:val="yellow"/>
        </w:rPr>
        <w:t>There is also at least on</w:t>
      </w:r>
      <w:r w:rsidR="0091784C" w:rsidRPr="001536FF">
        <w:rPr>
          <w:highlight w:val="yellow"/>
        </w:rPr>
        <w:t>e trinucleotide repeat in molpath</w:t>
      </w:r>
      <w:r w:rsidRPr="001536FF">
        <w:rPr>
          <w:highlight w:val="yellow"/>
        </w:rPr>
        <w:t>which should be moved to Molpath.Nucrepeat</w:t>
      </w:r>
    </w:p>
    <w:p w14:paraId="4AF6A3B8" w14:textId="77777777" w:rsidR="00BD0A25" w:rsidRPr="008A34F7" w:rsidRDefault="00BD0A25" w:rsidP="0046308D">
      <w:pPr>
        <w:spacing w:after="0"/>
        <w:rPr>
          <w:b/>
          <w:sz w:val="28"/>
          <w:szCs w:val="28"/>
        </w:rPr>
      </w:pPr>
    </w:p>
    <w:sectPr w:rsidR="00BD0A25" w:rsidRPr="008A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cDonald, Clem (NIH/NLM/LHC) [E]" w:date="2018-03-14T22:09:00Z" w:initials="MC([">
    <w:p w14:paraId="777742F2" w14:textId="77777777" w:rsidR="00163D76" w:rsidRDefault="00163D76" w:rsidP="00163D76">
      <w:pPr>
        <w:pStyle w:val="CommentText"/>
      </w:pPr>
      <w:r>
        <w:rPr>
          <w:rStyle w:val="CommentReference"/>
        </w:rPr>
        <w:annotationRef/>
      </w:r>
      <w:r>
        <w:t xml:space="preserve">For RI </w:t>
      </w:r>
    </w:p>
  </w:comment>
  <w:comment w:id="2" w:author="McDonald, Clem (NIH/NLM/LHC) [E]" w:date="2018-03-14T21:53:00Z" w:initials="MC([">
    <w:p w14:paraId="212DF1D2" w14:textId="77777777" w:rsidR="004243B8" w:rsidRDefault="004243B8">
      <w:pPr>
        <w:pStyle w:val="CommentText"/>
      </w:pPr>
      <w:r>
        <w:rPr>
          <w:rStyle w:val="CommentReference"/>
        </w:rPr>
        <w:annotationRef/>
      </w:r>
      <w:r>
        <w:t>Really addressed to 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7742F2" w15:done="0"/>
  <w15:commentEx w15:paraId="212DF1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3D86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536A98"/>
    <w:multiLevelType w:val="hybridMultilevel"/>
    <w:tmpl w:val="2AD0DCAC"/>
    <w:lvl w:ilvl="0" w:tplc="6D68A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0441"/>
    <w:multiLevelType w:val="hybridMultilevel"/>
    <w:tmpl w:val="9E62B3E0"/>
    <w:lvl w:ilvl="0" w:tplc="6D68A9D6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623259E8"/>
    <w:multiLevelType w:val="hybridMultilevel"/>
    <w:tmpl w:val="E4D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cDonald, Clem (NIH/NLM/LHC) [E]">
    <w15:presenceInfo w15:providerId="None" w15:userId="McDonald, Clem (NIH/NLM/LHC) [E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40"/>
    <w:rsid w:val="000762DE"/>
    <w:rsid w:val="000E2FA6"/>
    <w:rsid w:val="00134BDC"/>
    <w:rsid w:val="001536FF"/>
    <w:rsid w:val="00163D76"/>
    <w:rsid w:val="001A24EF"/>
    <w:rsid w:val="001A35C0"/>
    <w:rsid w:val="001F243C"/>
    <w:rsid w:val="00202E63"/>
    <w:rsid w:val="00231959"/>
    <w:rsid w:val="002374C7"/>
    <w:rsid w:val="002C0FE8"/>
    <w:rsid w:val="002E08C7"/>
    <w:rsid w:val="00396AFB"/>
    <w:rsid w:val="003E5812"/>
    <w:rsid w:val="004243B8"/>
    <w:rsid w:val="00435464"/>
    <w:rsid w:val="00435594"/>
    <w:rsid w:val="00456C87"/>
    <w:rsid w:val="0046308D"/>
    <w:rsid w:val="00476E83"/>
    <w:rsid w:val="004E7AD1"/>
    <w:rsid w:val="00516241"/>
    <w:rsid w:val="00524D23"/>
    <w:rsid w:val="005F75F8"/>
    <w:rsid w:val="00604104"/>
    <w:rsid w:val="00625E2C"/>
    <w:rsid w:val="0065012A"/>
    <w:rsid w:val="00664865"/>
    <w:rsid w:val="00667304"/>
    <w:rsid w:val="00683403"/>
    <w:rsid w:val="0069012D"/>
    <w:rsid w:val="006E51D0"/>
    <w:rsid w:val="007038DF"/>
    <w:rsid w:val="00753921"/>
    <w:rsid w:val="007B2BF3"/>
    <w:rsid w:val="007E700B"/>
    <w:rsid w:val="00817141"/>
    <w:rsid w:val="008477E5"/>
    <w:rsid w:val="008800DE"/>
    <w:rsid w:val="00886272"/>
    <w:rsid w:val="008A34F7"/>
    <w:rsid w:val="0091784C"/>
    <w:rsid w:val="009D6886"/>
    <w:rsid w:val="00A02ECF"/>
    <w:rsid w:val="00A43C23"/>
    <w:rsid w:val="00A81199"/>
    <w:rsid w:val="00A9027B"/>
    <w:rsid w:val="00AB264B"/>
    <w:rsid w:val="00AB75EF"/>
    <w:rsid w:val="00AE3FBF"/>
    <w:rsid w:val="00B21940"/>
    <w:rsid w:val="00B27EF8"/>
    <w:rsid w:val="00B51906"/>
    <w:rsid w:val="00BD0A25"/>
    <w:rsid w:val="00C13483"/>
    <w:rsid w:val="00C5374F"/>
    <w:rsid w:val="00C72CE6"/>
    <w:rsid w:val="00C74DD7"/>
    <w:rsid w:val="00CB5A5B"/>
    <w:rsid w:val="00CC10F3"/>
    <w:rsid w:val="00CC26BF"/>
    <w:rsid w:val="00CD494D"/>
    <w:rsid w:val="00D27007"/>
    <w:rsid w:val="00DA7A35"/>
    <w:rsid w:val="00DC5C70"/>
    <w:rsid w:val="00E01182"/>
    <w:rsid w:val="00E82FCF"/>
    <w:rsid w:val="00F263C0"/>
    <w:rsid w:val="00F70A19"/>
    <w:rsid w:val="00FB7284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9AD0"/>
  <w15:chartTrackingRefBased/>
  <w15:docId w15:val="{CD2A125C-70C0-44D3-9D63-1506A2B3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90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02ECF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43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3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3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3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3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3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3B8"/>
    <w:rPr>
      <w:rFonts w:ascii="Segoe UI" w:hAnsi="Segoe UI" w:cs="Segoe UI"/>
      <w:sz w:val="18"/>
      <w:szCs w:val="18"/>
    </w:rPr>
  </w:style>
  <w:style w:type="character" w:customStyle="1" w:styleId="section40000000000000">
    <w:name w:val="section40000000000000"/>
    <w:basedOn w:val="DefaultParagraphFont"/>
    <w:rsid w:val="00880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02C6-548A-4E94-A40C-89427CCA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Clem (NIH/NLM/LHC) [E]</dc:creator>
  <cp:keywords/>
  <dc:description/>
  <cp:lastModifiedBy>Lu, Shennon (NIH/NLM/LHC) [C]</cp:lastModifiedBy>
  <cp:revision>17</cp:revision>
  <cp:lastPrinted>2018-04-12T20:55:00Z</cp:lastPrinted>
  <dcterms:created xsi:type="dcterms:W3CDTF">2018-04-12T19:38:00Z</dcterms:created>
  <dcterms:modified xsi:type="dcterms:W3CDTF">2018-04-13T19:43:00Z</dcterms:modified>
</cp:coreProperties>
</file>