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vertAnchor="text" w:horzAnchor="page" w:tblpX="1905" w:tblpY="10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gridCol w:w="2526"/>
        <w:gridCol w:w="992"/>
        <w:gridCol w:w="3857"/>
      </w:tblGrid>
      <w:tr w14:paraId="40C2C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3" w:type="dxa"/>
            <w:vAlign w:val="center"/>
          </w:tcPr>
          <w:p w14:paraId="58193F37">
            <w:pPr>
              <w:spacing w:line="520" w:lineRule="exact"/>
              <w:jc w:val="center"/>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题目</w:t>
            </w:r>
          </w:p>
        </w:tc>
        <w:tc>
          <w:tcPr>
            <w:tcW w:w="7375" w:type="dxa"/>
            <w:gridSpan w:val="3"/>
            <w:vAlign w:val="center"/>
          </w:tcPr>
          <w:p w14:paraId="0198B4E2">
            <w:pPr>
              <w:spacing w:line="520" w:lineRule="exact"/>
              <w:jc w:val="center"/>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英德市石灰铺镇"茶趣园"项目调研报告</w:t>
            </w:r>
            <w:bookmarkStart w:id="27" w:name="_GoBack"/>
            <w:r>
              <w:rPr>
                <w:rFonts w:hint="eastAsia" w:ascii="华文楷体" w:hAnsi="华文楷体" w:eastAsia="华文楷体" w:cs="华文楷体"/>
                <w:b/>
                <w:bCs/>
                <w:sz w:val="28"/>
                <w:szCs w:val="28"/>
                <w:lang w:val="en-US" w:eastAsia="zh-CN"/>
              </w:rPr>
              <w:t>——粤北生态发展区共同富裕的实践探索</w:t>
            </w:r>
            <w:bookmarkEnd w:id="27"/>
          </w:p>
        </w:tc>
      </w:tr>
      <w:tr w14:paraId="18D78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vAlign w:val="center"/>
          </w:tcPr>
          <w:p w14:paraId="6FE1E203">
            <w:pPr>
              <w:spacing w:line="520" w:lineRule="exact"/>
              <w:jc w:val="center"/>
              <w:rPr>
                <w:rFonts w:hint="eastAsia" w:ascii="华文楷体" w:hAnsi="华文楷体" w:eastAsia="华文楷体" w:cs="华文楷体"/>
                <w:b/>
              </w:rPr>
            </w:pPr>
            <w:r>
              <w:rPr>
                <w:rFonts w:hint="eastAsia" w:ascii="华文楷体" w:hAnsi="华文楷体" w:eastAsia="华文楷体" w:cs="华文楷体"/>
                <w:b/>
              </w:rPr>
              <w:t>姓名</w:t>
            </w:r>
          </w:p>
        </w:tc>
        <w:tc>
          <w:tcPr>
            <w:tcW w:w="2526" w:type="dxa"/>
            <w:vAlign w:val="center"/>
          </w:tcPr>
          <w:p w14:paraId="76BACA4F">
            <w:pPr>
              <w:spacing w:line="520" w:lineRule="exact"/>
              <w:jc w:val="center"/>
              <w:rPr>
                <w:rFonts w:hint="eastAsia" w:ascii="华文楷体" w:hAnsi="华文楷体" w:eastAsia="华文楷体" w:cs="华文楷体"/>
                <w:b/>
                <w:lang w:val="en-US" w:eastAsia="zh-CN"/>
              </w:rPr>
            </w:pPr>
            <w:r>
              <w:rPr>
                <w:rFonts w:hint="eastAsia" w:ascii="华文楷体" w:hAnsi="华文楷体" w:eastAsia="华文楷体" w:cs="华文楷体"/>
                <w:color w:val="auto"/>
                <w:sz w:val="24"/>
                <w:szCs w:val="24"/>
                <w:lang w:val="en-US" w:eastAsia="zh-CN"/>
              </w:rPr>
              <w:t>黎悦濠</w:t>
            </w:r>
          </w:p>
        </w:tc>
        <w:tc>
          <w:tcPr>
            <w:tcW w:w="992" w:type="dxa"/>
            <w:vAlign w:val="center"/>
          </w:tcPr>
          <w:p w14:paraId="6093D674">
            <w:pPr>
              <w:widowControl/>
              <w:jc w:val="center"/>
              <w:rPr>
                <w:rFonts w:hint="eastAsia" w:ascii="华文楷体" w:hAnsi="华文楷体" w:eastAsia="华文楷体" w:cs="华文楷体"/>
                <w:b/>
              </w:rPr>
            </w:pPr>
            <w:r>
              <w:rPr>
                <w:rFonts w:hint="eastAsia" w:ascii="华文楷体" w:hAnsi="华文楷体" w:eastAsia="华文楷体" w:cs="华文楷体"/>
                <w:b/>
              </w:rPr>
              <w:t>学号</w:t>
            </w:r>
          </w:p>
        </w:tc>
        <w:tc>
          <w:tcPr>
            <w:tcW w:w="3857" w:type="dxa"/>
          </w:tcPr>
          <w:p w14:paraId="2718C7EE">
            <w:pPr>
              <w:spacing w:line="520" w:lineRule="exact"/>
              <w:rPr>
                <w:rFonts w:hint="default" w:ascii="华文楷体" w:hAnsi="华文楷体" w:eastAsia="华文楷体" w:cs="华文楷体"/>
                <w:b/>
                <w:sz w:val="32"/>
                <w:szCs w:val="32"/>
                <w:lang w:val="en-US" w:eastAsia="zh-CN"/>
              </w:rPr>
            </w:pPr>
            <w:r>
              <w:rPr>
                <w:rFonts w:hint="eastAsia" w:ascii="华文楷体" w:hAnsi="华文楷体" w:eastAsia="华文楷体" w:cs="华文楷体"/>
                <w:color w:val="auto"/>
                <w:sz w:val="24"/>
                <w:szCs w:val="24"/>
                <w:lang w:val="en-US" w:eastAsia="zh-CN"/>
              </w:rPr>
              <w:t>241732431</w:t>
            </w:r>
          </w:p>
        </w:tc>
      </w:tr>
      <w:tr w14:paraId="32003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14:paraId="39E140B1">
            <w:pPr>
              <w:spacing w:line="520" w:lineRule="exact"/>
              <w:rPr>
                <w:rFonts w:hint="eastAsia" w:ascii="华文楷体" w:hAnsi="华文楷体" w:eastAsia="华文楷体" w:cs="华文楷体"/>
                <w:b/>
                <w:sz w:val="28"/>
                <w:szCs w:val="28"/>
                <w:lang w:eastAsia="zh-CN"/>
              </w:rPr>
            </w:pPr>
            <w:r>
              <w:rPr>
                <w:rFonts w:hint="eastAsia" w:ascii="华文楷体" w:hAnsi="华文楷体" w:eastAsia="华文楷体" w:cs="华文楷体"/>
                <w:b/>
                <w:szCs w:val="21"/>
                <w:lang w:val="en-US" w:eastAsia="zh-CN"/>
              </w:rPr>
              <w:t>调研报告</w:t>
            </w:r>
            <w:r>
              <w:rPr>
                <w:rFonts w:hint="eastAsia" w:ascii="华文楷体" w:hAnsi="华文楷体" w:eastAsia="华文楷体" w:cs="华文楷体"/>
                <w:b/>
                <w:szCs w:val="21"/>
                <w:lang w:eastAsia="zh-CN"/>
              </w:rPr>
              <w:t>摘要</w:t>
            </w:r>
          </w:p>
        </w:tc>
        <w:tc>
          <w:tcPr>
            <w:tcW w:w="7375" w:type="dxa"/>
            <w:gridSpan w:val="3"/>
          </w:tcPr>
          <w:p w14:paraId="67D82A69">
            <w:pPr>
              <w:spacing w:line="360" w:lineRule="auto"/>
              <w:ind w:firstLine="480" w:firstLineChars="200"/>
              <w:rPr>
                <w:rFonts w:hint="eastAsia" w:ascii="华文楷体" w:hAnsi="华文楷体" w:eastAsia="华文楷体" w:cs="华文楷体"/>
                <w:b/>
                <w:sz w:val="28"/>
                <w:szCs w:val="28"/>
              </w:rPr>
            </w:pPr>
            <w:r>
              <w:rPr>
                <w:rFonts w:hint="eastAsia" w:ascii="华文楷体" w:hAnsi="华文楷体" w:eastAsia="华文楷体" w:cs="华文楷体"/>
                <w:color w:val="auto"/>
                <w:sz w:val="24"/>
                <w:szCs w:val="24"/>
                <w:lang w:val="en-US" w:eastAsia="zh-CN"/>
              </w:rPr>
              <w:t>本研究以英德市石灰铺镇 “茶趣园” 项目为案例，基于共同富裕与乡村振兴战略要求，立足 “1+3+6” 理论框架构建 “三链同构” 模型，通过田野调查等方法展开研究。结果显示，项目依托产业链联合党委、数字技术赋能、三产融合等举措，实现产业规模翻倍、茶农收入超全省农村平均水平等成效。研究提炼党建链通产业链等经验，揭示数字经济赋能等路径，为粤北生态发展区农业现代化与共同富裕提供基层实践样本。</w:t>
            </w:r>
          </w:p>
        </w:tc>
      </w:tr>
      <w:tr w14:paraId="045B7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3" w:type="dxa"/>
          </w:tcPr>
          <w:p w14:paraId="3F4EECBD">
            <w:pPr>
              <w:spacing w:line="520" w:lineRule="exact"/>
              <w:rPr>
                <w:rFonts w:hint="eastAsia" w:ascii="华文楷体" w:hAnsi="华文楷体" w:eastAsia="华文楷体" w:cs="华文楷体"/>
                <w:b/>
                <w:sz w:val="32"/>
                <w:szCs w:val="32"/>
              </w:rPr>
            </w:pPr>
          </w:p>
          <w:p w14:paraId="2E8F0B50">
            <w:pPr>
              <w:spacing w:line="520" w:lineRule="exact"/>
              <w:rPr>
                <w:rFonts w:hint="eastAsia" w:ascii="华文楷体" w:hAnsi="华文楷体" w:eastAsia="华文楷体" w:cs="华文楷体"/>
                <w:b/>
                <w:szCs w:val="21"/>
              </w:rPr>
            </w:pPr>
            <w:r>
              <w:rPr>
                <w:rFonts w:hint="eastAsia" w:ascii="华文楷体" w:hAnsi="华文楷体" w:eastAsia="华文楷体" w:cs="华文楷体"/>
                <w:b/>
                <w:szCs w:val="21"/>
                <w:lang w:eastAsia="zh-CN"/>
              </w:rPr>
              <w:t>教师</w:t>
            </w:r>
            <w:r>
              <w:rPr>
                <w:rFonts w:hint="eastAsia" w:ascii="华文楷体" w:hAnsi="华文楷体" w:eastAsia="华文楷体" w:cs="华文楷体"/>
                <w:b/>
                <w:szCs w:val="21"/>
              </w:rPr>
              <w:t>评定成绩</w:t>
            </w:r>
          </w:p>
          <w:p w14:paraId="675A48B5">
            <w:pPr>
              <w:spacing w:line="520" w:lineRule="exact"/>
              <w:rPr>
                <w:rFonts w:hint="eastAsia" w:ascii="华文楷体" w:hAnsi="华文楷体" w:eastAsia="华文楷体" w:cs="华文楷体"/>
                <w:b/>
                <w:sz w:val="28"/>
                <w:szCs w:val="28"/>
              </w:rPr>
            </w:pPr>
          </w:p>
        </w:tc>
        <w:tc>
          <w:tcPr>
            <w:tcW w:w="7375" w:type="dxa"/>
            <w:gridSpan w:val="3"/>
          </w:tcPr>
          <w:p w14:paraId="438AA1B4">
            <w:pPr>
              <w:spacing w:line="360" w:lineRule="auto"/>
              <w:ind w:firstLine="480" w:firstLineChars="200"/>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90-100分：能熟练地综合运用所学理论和知识，紧扣课程教学内容，立论正确，结论合理，见解独到；条理清楚，论述充分，语句通顺；格式正确，无错别字；参考文献无误。</w:t>
            </w:r>
          </w:p>
          <w:p w14:paraId="5ACA1C58">
            <w:pPr>
              <w:spacing w:line="360" w:lineRule="auto"/>
              <w:ind w:firstLine="480" w:firstLineChars="200"/>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80-89分：能较好地运用所学理论和知识，立论正确，结论合理，有一定的独立见解；条理清楚，论述充分，语句通顺；格式正确，无错别字；参考文献无误。</w:t>
            </w:r>
          </w:p>
          <w:p w14:paraId="19882C62">
            <w:pPr>
              <w:spacing w:line="360" w:lineRule="auto"/>
              <w:ind w:firstLine="480" w:firstLineChars="200"/>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70-79分：能运用所学理论和知识，立论正确，结论较合理；条理清楚，论述充分，语句通顺；格式正确，无错别字；参考文献无误。</w:t>
            </w:r>
          </w:p>
          <w:p w14:paraId="54F68B00">
            <w:pPr>
              <w:spacing w:line="360" w:lineRule="auto"/>
              <w:ind w:firstLine="480" w:firstLineChars="200"/>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60-69分：能运用所学理论和知识，立论正确，结论较合理；条理不够清楚，论述不够充分，语句不太通顺；格式有明显错误，有较多错别字；没有参考文献。</w:t>
            </w:r>
          </w:p>
          <w:p w14:paraId="75323A4F">
            <w:pPr>
              <w:spacing w:line="360" w:lineRule="auto"/>
              <w:ind w:firstLine="480" w:firstLineChars="200"/>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60分以下：立论错误，结论不合理；条理不清，语句不通；格式有明显错误，有较多错别字；没有参考文献。</w:t>
            </w:r>
          </w:p>
          <w:p w14:paraId="5435ADB8">
            <w:pPr>
              <w:spacing w:line="520" w:lineRule="exact"/>
              <w:rPr>
                <w:rFonts w:hint="eastAsia" w:ascii="华文楷体" w:hAnsi="华文楷体" w:eastAsia="华文楷体" w:cs="华文楷体"/>
                <w:b/>
                <w:sz w:val="28"/>
                <w:szCs w:val="28"/>
              </w:rPr>
            </w:pPr>
          </w:p>
          <w:p w14:paraId="6F468A2B">
            <w:pPr>
              <w:spacing w:line="520" w:lineRule="exact"/>
              <w:ind w:firstLine="600" w:firstLineChars="249"/>
              <w:rPr>
                <w:rFonts w:hint="eastAsia" w:ascii="华文楷体" w:hAnsi="华文楷体" w:eastAsia="华文楷体" w:cs="华文楷体"/>
                <w:b/>
                <w:sz w:val="32"/>
                <w:szCs w:val="32"/>
              </w:rPr>
            </w:pPr>
            <w:r>
              <w:rPr>
                <w:rFonts w:hint="eastAsia" w:ascii="华文楷体" w:hAnsi="华文楷体" w:eastAsia="华文楷体" w:cs="华文楷体"/>
                <w:b/>
              </w:rPr>
              <w:t xml:space="preserve">成绩            </w:t>
            </w:r>
            <w:r>
              <w:rPr>
                <w:rFonts w:hint="eastAsia" w:ascii="华文楷体" w:hAnsi="华文楷体" w:eastAsia="华文楷体" w:cs="华文楷体"/>
                <w:b/>
                <w:lang w:val="en-US" w:eastAsia="zh-CN"/>
              </w:rPr>
              <w:t xml:space="preserve">         </w:t>
            </w:r>
            <w:r>
              <w:rPr>
                <w:rFonts w:hint="eastAsia" w:ascii="华文楷体" w:hAnsi="华文楷体" w:eastAsia="华文楷体" w:cs="华文楷体"/>
                <w:b/>
              </w:rPr>
              <w:t xml:space="preserve"> </w:t>
            </w:r>
            <w:r>
              <w:rPr>
                <w:rFonts w:hint="eastAsia" w:ascii="华文楷体" w:hAnsi="华文楷体" w:eastAsia="华文楷体" w:cs="华文楷体"/>
                <w:b/>
                <w:lang w:val="en-US" w:eastAsia="zh-CN"/>
              </w:rPr>
              <w:t xml:space="preserve">  </w:t>
            </w:r>
            <w:r>
              <w:rPr>
                <w:rFonts w:hint="eastAsia" w:ascii="华文楷体" w:hAnsi="华文楷体" w:eastAsia="华文楷体" w:cs="华文楷体"/>
                <w:b/>
                <w:lang w:eastAsia="zh-CN"/>
              </w:rPr>
              <w:t>教师签名</w:t>
            </w:r>
            <w:r>
              <w:rPr>
                <w:rFonts w:hint="eastAsia" w:ascii="华文楷体" w:hAnsi="华文楷体" w:eastAsia="华文楷体" w:cs="华文楷体"/>
                <w:b/>
              </w:rPr>
              <w:t>：</w:t>
            </w:r>
          </w:p>
        </w:tc>
      </w:tr>
    </w:tbl>
    <w:p w14:paraId="6DB4F9D3">
      <w:pPr>
        <w:spacing w:before="380" w:after="140" w:line="288" w:lineRule="auto"/>
        <w:ind w:left="0"/>
        <w:jc w:val="left"/>
        <w:outlineLvl w:val="0"/>
        <w:rPr>
          <w:rFonts w:ascii="Arial" w:hAnsi="Arial" w:eastAsia="等线" w:cs="Arial"/>
          <w:b/>
          <w:sz w:val="36"/>
        </w:rPr>
      </w:pPr>
    </w:p>
    <w:p w14:paraId="27744640">
      <w:pPr>
        <w:spacing w:before="380" w:after="140" w:line="288" w:lineRule="auto"/>
        <w:ind w:left="0"/>
        <w:jc w:val="center"/>
        <w:outlineLvl w:val="0"/>
        <w:rPr>
          <w:rFonts w:ascii="Arial" w:hAnsi="Arial" w:eastAsia="等线" w:cs="Arial"/>
          <w:b/>
          <w:sz w:val="36"/>
        </w:rPr>
      </w:pPr>
      <w:r>
        <w:rPr>
          <w:rFonts w:ascii="Arial" w:hAnsi="Arial" w:eastAsia="等线" w:cs="Arial"/>
          <w:b/>
          <w:sz w:val="36"/>
        </w:rPr>
        <w:t>英德市石灰铺镇"茶趣园"</w:t>
      </w:r>
      <w:r>
        <w:rPr>
          <w:rFonts w:hint="eastAsia" w:ascii="Arial" w:hAnsi="Arial" w:eastAsia="等线" w:cs="Arial"/>
          <w:b/>
          <w:sz w:val="36"/>
          <w:lang w:val="en-US" w:eastAsia="zh-CN"/>
        </w:rPr>
        <w:t>茶旅生态产业</w:t>
      </w:r>
      <w:r>
        <w:rPr>
          <w:rFonts w:ascii="Arial" w:hAnsi="Arial" w:eastAsia="等线" w:cs="Arial"/>
          <w:b/>
          <w:sz w:val="36"/>
        </w:rPr>
        <w:t>调研报告</w:t>
      </w:r>
    </w:p>
    <w:p w14:paraId="0236F9E7">
      <w:pPr>
        <w:spacing w:before="380" w:after="140" w:line="288" w:lineRule="auto"/>
        <w:ind w:left="0"/>
        <w:jc w:val="right"/>
        <w:outlineLvl w:val="0"/>
        <w:rPr>
          <w:sz w:val="20"/>
          <w:szCs w:val="18"/>
        </w:rPr>
      </w:pPr>
      <w:r>
        <w:rPr>
          <w:rFonts w:ascii="Arial" w:hAnsi="Arial" w:eastAsia="等线" w:cs="Arial"/>
          <w:b/>
          <w:sz w:val="24"/>
          <w:szCs w:val="18"/>
        </w:rPr>
        <w:t>——粤北生态发展区共同富裕的实践探索</w:t>
      </w:r>
    </w:p>
    <w:p w14:paraId="24A35106">
      <w:pPr>
        <w:spacing w:before="320" w:after="120" w:line="288" w:lineRule="auto"/>
        <w:ind w:left="0"/>
        <w:jc w:val="left"/>
        <w:outlineLvl w:val="1"/>
      </w:pPr>
      <w:bookmarkStart w:id="0" w:name="heading_1"/>
      <w:r>
        <w:rPr>
          <w:rFonts w:ascii="Arial" w:hAnsi="Arial" w:eastAsia="等线" w:cs="Arial"/>
          <w:b/>
          <w:sz w:val="32"/>
        </w:rPr>
        <w:t>一、引言：问题意识与研究设计</w:t>
      </w:r>
      <w:bookmarkEnd w:id="0"/>
    </w:p>
    <w:p w14:paraId="7DD15175">
      <w:pPr>
        <w:spacing w:before="300" w:after="120" w:line="288" w:lineRule="auto"/>
        <w:ind w:left="0"/>
        <w:jc w:val="left"/>
        <w:outlineLvl w:val="2"/>
      </w:pPr>
      <w:bookmarkStart w:id="1" w:name="heading_2"/>
      <w:r>
        <w:rPr>
          <w:rFonts w:ascii="Arial" w:hAnsi="Arial" w:eastAsia="等线" w:cs="Arial"/>
          <w:b/>
          <w:sz w:val="30"/>
        </w:rPr>
        <w:t>1. 问题的提出</w:t>
      </w:r>
      <w:bookmarkEnd w:id="1"/>
    </w:p>
    <w:p w14:paraId="5E2F2D40">
      <w:pPr>
        <w:spacing w:before="120" w:after="120" w:line="288" w:lineRule="auto"/>
        <w:ind w:left="0"/>
        <w:jc w:val="left"/>
      </w:pPr>
      <w:r>
        <w:rPr>
          <w:rFonts w:ascii="Arial" w:hAnsi="Arial" w:eastAsia="等线" w:cs="Arial"/>
          <w:sz w:val="22"/>
        </w:rPr>
        <w:t>习近平总书记在党的二十大报告中明确指出："中国式现代化是全体人民共同富裕的现代化。"[1]2023年4月，总书记在广东视察时强调，"使粤港澳大湾区成为新发展格局的战略支点、高质量发展的示范地、中国式现代化的引领地"，要求广东"在推进中国式现代化建设中走在前列"[2]。这一"走在前列"的战略擘画，如何转化为基层实践的生动图景？如何破解粤北生态发展区"美丽贫困"的现实困境？如何发挥龙头企业在乡村振兴中的骨干作用？</w:t>
      </w:r>
    </w:p>
    <w:p w14:paraId="63949A27">
      <w:pPr>
        <w:spacing w:before="120" w:after="120" w:line="288" w:lineRule="auto"/>
        <w:ind w:left="0"/>
        <w:jc w:val="left"/>
      </w:pPr>
      <w:r>
        <w:rPr>
          <w:rFonts w:ascii="Arial" w:hAnsi="Arial" w:eastAsia="等线" w:cs="Arial"/>
          <w:sz w:val="22"/>
        </w:rPr>
        <w:t>本研究选取英德市石灰铺镇"茶趣园"项目为案例，核心考量基于三点：其一，项目由英德红茶业有限公司2014年成立，基地位于石灰铺镇勤丰村委老江屋村沙岗山）主导运营，业务覆盖茶叶种植、加工、销售及文旅全链条，2024年带动英德红茶产业综合产值突破90亿元，占清远市农业GDP比重达16%，产业代表性突出；其二，项目构建"公司+合作社+金融+基地+农户"模式，覆盖石灰铺镇4个行政村、400多户茶农，其中贫困户107户，共同富裕的微观机制清晰可观测；其三，企业获得广东省重点农业龙头企业、扶贫农业龙头企业等多项资质，其发展路径兼具市场性与公益性，实践价值显著。</w:t>
      </w:r>
    </w:p>
    <w:p w14:paraId="3CA8A6F5">
      <w:pPr>
        <w:spacing w:before="120" w:after="120" w:line="288" w:lineRule="auto"/>
        <w:ind w:left="0"/>
        <w:jc w:val="left"/>
      </w:pPr>
    </w:p>
    <w:p w14:paraId="500D0495">
      <w:pPr>
        <w:spacing w:before="300" w:after="120" w:line="288" w:lineRule="auto"/>
        <w:ind w:left="0"/>
        <w:jc w:val="left"/>
        <w:outlineLvl w:val="2"/>
      </w:pPr>
      <w:bookmarkStart w:id="2" w:name="heading_3"/>
      <w:r>
        <w:rPr>
          <w:rFonts w:ascii="Arial" w:hAnsi="Arial" w:eastAsia="等线" w:cs="Arial"/>
          <w:b/>
          <w:sz w:val="30"/>
        </w:rPr>
        <w:t>2. 理论框架与分析视角</w:t>
      </w:r>
      <w:bookmarkEnd w:id="2"/>
    </w:p>
    <w:p w14:paraId="797AB43D">
      <w:pPr>
        <w:spacing w:before="120" w:after="120" w:line="288" w:lineRule="auto"/>
        <w:ind w:left="0"/>
        <w:jc w:val="left"/>
      </w:pPr>
      <w:r>
        <w:rPr>
          <w:rFonts w:ascii="Arial" w:hAnsi="Arial" w:eastAsia="等线" w:cs="Arial"/>
          <w:sz w:val="22"/>
        </w:rPr>
        <w:t>本研究立足清远市在乡村振兴实践中探索形成的"一地生五金"模式，聚焦粤北生态发展区共同富裕维度构建分析框架。"一地生五金"是清远市践行习近平总书记2018年考察广东清远时"把短板变成潜力板"重要指示的创新实践，核心内涵为通过土地资源整合盘活，让村民实现"五金"增收：流转出租土地获得租金、就业务工获得工资、加盟合作社获得经营性收入、入股合作社获得保底资产性收益、通过扶贫爱心基金获得生产发展资金[3]。本研究以此为核心框架，解析"茶趣园"项目如何通过土地资源激活带动多元增收，为生态优势转化为经济优势提供实证分析。</w:t>
      </w:r>
    </w:p>
    <w:p w14:paraId="5D7ADBEE">
      <w:pPr>
        <w:numPr>
          <w:ilvl w:val="0"/>
          <w:numId w:val="1"/>
        </w:numPr>
        <w:spacing w:before="120" w:after="120" w:line="288" w:lineRule="auto"/>
        <w:ind w:left="0"/>
        <w:jc w:val="left"/>
      </w:pPr>
      <w:r>
        <w:rPr>
          <w:rFonts w:ascii="Arial" w:hAnsi="Arial" w:eastAsia="等线" w:cs="Arial"/>
          <w:b/>
          <w:sz w:val="22"/>
        </w:rPr>
        <w:t>土地激活是基础</w:t>
      </w:r>
      <w:r>
        <w:rPr>
          <w:rFonts w:ascii="Arial" w:hAnsi="Arial" w:eastAsia="等线" w:cs="Arial"/>
          <w:sz w:val="22"/>
        </w:rPr>
        <w:t>：破解"土地分散、效益低下"难题，通过土地流转整合碎片化资源，为产业规模化发展奠定基础，体现"绿水青山就是金山银山"的理论实践。</w:t>
      </w:r>
    </w:p>
    <w:p w14:paraId="565A4259">
      <w:pPr>
        <w:numPr>
          <w:ilvl w:val="0"/>
          <w:numId w:val="2"/>
        </w:numPr>
        <w:spacing w:before="120" w:after="120" w:line="288" w:lineRule="auto"/>
        <w:ind w:left="0"/>
        <w:jc w:val="left"/>
      </w:pPr>
      <w:r>
        <w:rPr>
          <w:rFonts w:ascii="Arial" w:hAnsi="Arial" w:eastAsia="等线" w:cs="Arial"/>
          <w:b/>
          <w:sz w:val="22"/>
        </w:rPr>
        <w:t>利益联结是核心</w:t>
      </w:r>
      <w:r>
        <w:rPr>
          <w:rFonts w:ascii="Arial" w:hAnsi="Arial" w:eastAsia="等线" w:cs="Arial"/>
          <w:sz w:val="22"/>
        </w:rPr>
        <w:t>：以"五金"机制构建全链条收益体系，将村民从单一生产者转化为产业利益共同体，回应共同富裕"全民共享"的本质要求。</w:t>
      </w:r>
    </w:p>
    <w:p w14:paraId="6EB5C114">
      <w:pPr>
        <w:numPr>
          <w:ilvl w:val="0"/>
          <w:numId w:val="3"/>
        </w:numPr>
        <w:spacing w:before="120" w:after="120" w:line="288" w:lineRule="auto"/>
        <w:ind w:left="0"/>
        <w:jc w:val="left"/>
      </w:pPr>
      <w:r>
        <w:rPr>
          <w:rFonts w:ascii="Arial" w:hAnsi="Arial" w:eastAsia="等线" w:cs="Arial"/>
          <w:b/>
          <w:sz w:val="22"/>
        </w:rPr>
        <w:t>业态融合是支撑</w:t>
      </w:r>
      <w:r>
        <w:rPr>
          <w:rFonts w:ascii="Arial" w:hAnsi="Arial" w:eastAsia="等线" w:cs="Arial"/>
          <w:sz w:val="22"/>
        </w:rPr>
        <w:t>：推动茶叶种植与加工、文旅、电商等业态融合，延伸土地价值链条，验证"产业融合是乡村振兴根本路径"的实践逻辑。</w:t>
      </w:r>
    </w:p>
    <w:p w14:paraId="105ABE6F">
      <w:pPr>
        <w:spacing w:before="300" w:after="120" w:line="288" w:lineRule="auto"/>
        <w:ind w:left="0"/>
        <w:jc w:val="left"/>
        <w:outlineLvl w:val="2"/>
      </w:pPr>
      <w:bookmarkStart w:id="3" w:name="heading_4"/>
      <w:r>
        <w:rPr>
          <w:rFonts w:ascii="Arial" w:hAnsi="Arial" w:eastAsia="等线" w:cs="Arial"/>
          <w:b/>
          <w:sz w:val="30"/>
        </w:rPr>
        <w:t>3. 研究方法与数据来源</w:t>
      </w:r>
      <w:bookmarkEnd w:id="3"/>
    </w:p>
    <w:p w14:paraId="3D15A08A">
      <w:pPr>
        <w:spacing w:before="120" w:after="120" w:line="288" w:lineRule="auto"/>
        <w:ind w:left="0"/>
        <w:jc w:val="left"/>
      </w:pPr>
      <w:r>
        <w:rPr>
          <w:rFonts w:ascii="Arial" w:hAnsi="Arial" w:eastAsia="等线" w:cs="Arial"/>
          <w:sz w:val="22"/>
        </w:rPr>
        <w:t>本研究采用嵌入式案例研究法，通过"参与式观察+深度访谈+大数据分析"三角验证：</w:t>
      </w:r>
    </w:p>
    <w:p w14:paraId="29D94922">
      <w:pPr>
        <w:numPr>
          <w:ilvl w:val="0"/>
          <w:numId w:val="0"/>
        </w:numPr>
        <w:spacing w:before="120" w:after="120" w:line="288" w:lineRule="auto"/>
        <w:ind w:right="0" w:rightChars="0"/>
        <w:jc w:val="left"/>
      </w:pPr>
      <w:r>
        <w:rPr>
          <w:rFonts w:ascii="Arial" w:hAnsi="Arial" w:eastAsia="等线" w:cs="Arial"/>
          <w:b/>
          <w:sz w:val="22"/>
        </w:rPr>
        <w:t>田野调查</w:t>
      </w:r>
      <w:r>
        <w:rPr>
          <w:rFonts w:ascii="Arial" w:hAnsi="Arial" w:eastAsia="等线" w:cs="Arial"/>
          <w:sz w:val="22"/>
        </w:rPr>
        <w:t>：2025年6月，研究团队深入英德红茶业有限公司3300亩生态茶园、6800㎡透明加工厂及"茶趣园"文旅区进行实地考察，参与茶园管理、茶叶加工全流程。</w:t>
      </w:r>
    </w:p>
    <w:p w14:paraId="0935D509">
      <w:pPr>
        <w:numPr>
          <w:ilvl w:val="0"/>
          <w:numId w:val="0"/>
        </w:numPr>
        <w:spacing w:before="120" w:after="120" w:line="288" w:lineRule="auto"/>
        <w:ind w:right="0" w:rightChars="0"/>
        <w:jc w:val="left"/>
      </w:pPr>
      <w:r>
        <w:rPr>
          <w:rFonts w:ascii="Arial" w:hAnsi="Arial" w:eastAsia="等线" w:cs="Arial"/>
          <w:b/>
          <w:sz w:val="22"/>
        </w:rPr>
        <w:t>数据核验</w:t>
      </w:r>
      <w:r>
        <w:rPr>
          <w:rFonts w:ascii="Arial" w:hAnsi="Arial" w:eastAsia="等线" w:cs="Arial"/>
          <w:sz w:val="22"/>
        </w:rPr>
        <w:t>：获取企业2014-2024年经营年报、英德市农业农村局产业监测数据、扶贫办帮扶成效统计等脱敏资料，涵盖产值、就业、增收等核心指标。</w:t>
      </w:r>
    </w:p>
    <w:p w14:paraId="231B12D4">
      <w:pPr>
        <w:numPr>
          <w:ilvl w:val="0"/>
          <w:numId w:val="0"/>
        </w:numPr>
        <w:spacing w:before="120" w:after="120" w:line="288" w:lineRule="auto"/>
        <w:ind w:right="0" w:rightChars="0"/>
        <w:jc w:val="left"/>
      </w:pPr>
      <w:r>
        <w:rPr>
          <w:rFonts w:ascii="Arial" w:hAnsi="Arial" w:eastAsia="等线" w:cs="Arial"/>
          <w:b/>
          <w:sz w:val="22"/>
        </w:rPr>
        <w:t>深度访谈</w:t>
      </w:r>
      <w:r>
        <w:rPr>
          <w:rFonts w:ascii="Arial" w:hAnsi="Arial" w:eastAsia="等线" w:cs="Arial"/>
          <w:sz w:val="22"/>
        </w:rPr>
        <w:t>：访谈企业负责人、技术骨干、茶农代表（含贫困户15户）、镇党委干部及院校合作专家共32人次，形成访谈实录8.6万字。</w:t>
      </w:r>
    </w:p>
    <w:p w14:paraId="7D12675E">
      <w:pPr>
        <w:numPr>
          <w:ilvl w:val="0"/>
          <w:numId w:val="0"/>
        </w:numPr>
        <w:spacing w:before="120" w:after="120" w:line="288" w:lineRule="auto"/>
        <w:ind w:right="0" w:rightChars="0"/>
        <w:jc w:val="left"/>
      </w:pPr>
      <w:r>
        <w:rPr>
          <w:rFonts w:ascii="Arial" w:hAnsi="Arial" w:eastAsia="等线" w:cs="Arial"/>
          <w:b/>
          <w:sz w:val="22"/>
        </w:rPr>
        <w:t>文献分析</w:t>
      </w:r>
      <w:r>
        <w:rPr>
          <w:rFonts w:ascii="Arial" w:hAnsi="Arial" w:eastAsia="等线" w:cs="Arial"/>
          <w:sz w:val="22"/>
        </w:rPr>
        <w:t>：系统梳理习近平总书记关于乡村振兴的重要论述及粤北生态发展区政策文件，研读企业发展历程资料及行业报告127篇。</w:t>
      </w:r>
    </w:p>
    <w:p w14:paraId="70C4B4F3">
      <w:pPr>
        <w:spacing w:before="120" w:after="120" w:line="288" w:lineRule="auto"/>
        <w:ind w:left="0"/>
        <w:jc w:val="left"/>
      </w:pPr>
    </w:p>
    <w:p w14:paraId="0BF1215E">
      <w:pPr>
        <w:spacing w:before="320" w:after="120" w:line="288" w:lineRule="auto"/>
        <w:ind w:left="0"/>
        <w:jc w:val="left"/>
        <w:outlineLvl w:val="1"/>
      </w:pPr>
      <w:bookmarkStart w:id="4" w:name="heading_5"/>
      <w:r>
        <w:rPr>
          <w:rFonts w:ascii="Arial" w:hAnsi="Arial" w:eastAsia="等线" w:cs="Arial"/>
          <w:b/>
          <w:sz w:val="32"/>
        </w:rPr>
        <w:t>二、案例背景：从"地理标志"到"共富标杆"</w:t>
      </w:r>
      <w:bookmarkEnd w:id="4"/>
    </w:p>
    <w:p w14:paraId="55669836">
      <w:pPr>
        <w:spacing w:before="300" w:after="120" w:line="288" w:lineRule="auto"/>
        <w:ind w:left="0"/>
        <w:jc w:val="left"/>
        <w:outlineLvl w:val="2"/>
      </w:pPr>
      <w:bookmarkStart w:id="5" w:name="heading_6"/>
      <w:r>
        <w:rPr>
          <w:rFonts w:ascii="Arial" w:hAnsi="Arial" w:eastAsia="等线" w:cs="Arial"/>
          <w:b/>
          <w:sz w:val="30"/>
        </w:rPr>
        <w:t>1. 地理禀赋与发展悖论：粤北山区的"富饶贫困"</w:t>
      </w:r>
      <w:bookmarkEnd w:id="5"/>
    </w:p>
    <w:p w14:paraId="7C28AB53">
      <w:pPr>
        <w:spacing w:before="120" w:after="120" w:line="288" w:lineRule="auto"/>
        <w:ind w:left="0"/>
        <w:jc w:val="left"/>
      </w:pPr>
      <w:r>
        <w:rPr>
          <w:rFonts w:ascii="Arial" w:hAnsi="Arial" w:eastAsia="等线" w:cs="Arial"/>
          <w:sz w:val="22"/>
        </w:rPr>
        <w:t>英德市石灰铺镇位于北纬24°黄金产茶带，喀斯特地貌造就的富硒锌土壤，为茶叶种植提供了得天独厚的自然条件，2006年12月"英德红茶"即获国家地理标志产品保护（国家质检总局2006第225号公告）。然而2014年英德红茶业有限公司成立前，当地陷入典型的"富饶贫困"困境：</w:t>
      </w:r>
    </w:p>
    <w:p w14:paraId="43BC7BD2">
      <w:pPr>
        <w:numPr>
          <w:ilvl w:val="0"/>
          <w:numId w:val="4"/>
        </w:numPr>
        <w:spacing w:before="120" w:after="120" w:line="288" w:lineRule="auto"/>
        <w:ind w:left="0"/>
        <w:jc w:val="left"/>
      </w:pPr>
      <w:r>
        <w:rPr>
          <w:rFonts w:ascii="Arial" w:hAnsi="Arial" w:eastAsia="等线" w:cs="Arial"/>
          <w:b/>
          <w:sz w:val="22"/>
        </w:rPr>
        <w:t>资源优势未转化为经济优势</w:t>
      </w:r>
      <w:r>
        <w:rPr>
          <w:rFonts w:ascii="Arial" w:hAnsi="Arial" w:eastAsia="等线" w:cs="Arial"/>
          <w:sz w:val="22"/>
        </w:rPr>
        <w:t>：全镇1.2万亩茶园中，英红九号良种覆盖率达85%，但散户种植为主，鲜叶收购价被中间商压至8元/斤，终端售价却达600元/斤，95%价值增益被流通环节截取，茶农人均年收入仅0.8万元，为全省平均水平的34%。</w:t>
      </w:r>
    </w:p>
    <w:p w14:paraId="47B04419">
      <w:pPr>
        <w:numPr>
          <w:ilvl w:val="0"/>
          <w:numId w:val="5"/>
        </w:numPr>
        <w:spacing w:before="120" w:after="120" w:line="288" w:lineRule="auto"/>
        <w:ind w:left="0"/>
        <w:jc w:val="left"/>
      </w:pPr>
      <w:r>
        <w:rPr>
          <w:rFonts w:ascii="Arial" w:hAnsi="Arial" w:eastAsia="等线" w:cs="Arial"/>
          <w:b/>
          <w:sz w:val="22"/>
        </w:rPr>
        <w:t>抗风险能力薄弱</w:t>
      </w:r>
      <w:r>
        <w:rPr>
          <w:rFonts w:ascii="Arial" w:hAnsi="Arial" w:eastAsia="等线" w:cs="Arial"/>
          <w:sz w:val="22"/>
        </w:rPr>
        <w:t>：农户单打独斗模式下，2016年霜冻灾害中散户损失率达70%，而当时初具规模的企业基地损失仅12%，组织化差异凸显。</w:t>
      </w:r>
    </w:p>
    <w:p w14:paraId="2CD4848F">
      <w:pPr>
        <w:numPr>
          <w:ilvl w:val="0"/>
          <w:numId w:val="6"/>
        </w:numPr>
        <w:spacing w:before="120" w:after="120" w:line="288" w:lineRule="auto"/>
        <w:ind w:left="0"/>
        <w:jc w:val="left"/>
      </w:pPr>
      <w:r>
        <w:rPr>
          <w:rFonts w:ascii="Arial" w:hAnsi="Arial" w:eastAsia="等线" w:cs="Arial"/>
          <w:b/>
          <w:sz w:val="22"/>
        </w:rPr>
        <w:t>人才与技术断层</w:t>
      </w:r>
      <w:r>
        <w:rPr>
          <w:rFonts w:ascii="Arial" w:hAnsi="Arial" w:eastAsia="等线" w:cs="Arial"/>
          <w:sz w:val="22"/>
        </w:rPr>
        <w:t>：18-35岁青壮年外流率58%，茶园撂荒率35%，传统制茶技艺面临"人走技失"，更缺乏现代化加工与营销人才。</w:t>
      </w:r>
    </w:p>
    <w:p w14:paraId="4D27E8EE">
      <w:pPr>
        <w:spacing w:before="300" w:after="120" w:line="288" w:lineRule="auto"/>
        <w:ind w:left="0"/>
        <w:jc w:val="left"/>
        <w:outlineLvl w:val="2"/>
      </w:pPr>
      <w:bookmarkStart w:id="6" w:name="heading_7"/>
      <w:r>
        <w:rPr>
          <w:rFonts w:ascii="Arial" w:hAnsi="Arial" w:eastAsia="等线" w:cs="Arial"/>
          <w:b/>
          <w:sz w:val="30"/>
        </w:rPr>
        <w:t>2. 政策赋能与企业崛起：从"龙头培育"到"产业升级"</w:t>
      </w:r>
      <w:bookmarkEnd w:id="6"/>
    </w:p>
    <w:p w14:paraId="32AAE805">
      <w:pPr>
        <w:spacing w:before="120" w:after="120" w:line="288" w:lineRule="auto"/>
        <w:ind w:left="0"/>
        <w:jc w:val="left"/>
      </w:pPr>
      <w:r>
        <w:rPr>
          <w:rFonts w:ascii="Arial" w:hAnsi="Arial" w:eastAsia="等线" w:cs="Arial"/>
          <w:sz w:val="22"/>
        </w:rPr>
        <w:t>2014年英德红茶业有限公司的成立，成为产业转型的关键转折点，其发展历程与政策导向形成精准呼应：</w:t>
      </w:r>
    </w:p>
    <w:p w14:paraId="4132C9C1">
      <w:pPr>
        <w:numPr>
          <w:ilvl w:val="0"/>
          <w:numId w:val="7"/>
        </w:numPr>
        <w:spacing w:before="120" w:after="120" w:line="288" w:lineRule="auto"/>
        <w:ind w:left="0"/>
        <w:jc w:val="left"/>
      </w:pPr>
      <w:r>
        <w:rPr>
          <w:rFonts w:ascii="Arial" w:hAnsi="Arial" w:eastAsia="等线" w:cs="Arial"/>
          <w:b/>
          <w:sz w:val="22"/>
        </w:rPr>
        <w:t>政策机遇期（2014-2018）</w:t>
      </w:r>
      <w:r>
        <w:rPr>
          <w:rFonts w:ascii="Arial" w:hAnsi="Arial" w:eastAsia="等线" w:cs="Arial"/>
          <w:sz w:val="22"/>
        </w:rPr>
        <w:t>：借势广东省农业产业化政策，企业2015年成为清远市重点农业龙头企业，2017年建成6800㎡现代化加工厂（年产能120万斤），首创全透明生产模式，同年举办广东省制茶大赛，奠定行业地位。</w:t>
      </w:r>
    </w:p>
    <w:p w14:paraId="73B00D1C">
      <w:pPr>
        <w:numPr>
          <w:ilvl w:val="0"/>
          <w:numId w:val="8"/>
        </w:numPr>
        <w:spacing w:before="120" w:after="120" w:line="288" w:lineRule="auto"/>
        <w:ind w:left="0"/>
        <w:jc w:val="left"/>
      </w:pPr>
      <w:r>
        <w:rPr>
          <w:rFonts w:ascii="Arial" w:hAnsi="Arial" w:eastAsia="等线" w:cs="Arial"/>
          <w:b/>
          <w:sz w:val="22"/>
        </w:rPr>
        <w:t>战略提升期（2019-2022）</w:t>
      </w:r>
      <w:r>
        <w:rPr>
          <w:rFonts w:ascii="Arial" w:hAnsi="Arial" w:eastAsia="等线" w:cs="Arial"/>
          <w:sz w:val="22"/>
        </w:rPr>
        <w:t>：2019年"英德红茶"入选中国农业品牌目录，品牌价值达23.63亿元，企业同步获得广东省重点农业龙头企业称号；2022年响应"百县千镇万村高质量发展工程"，将"茶趣园"项目升级为三产融合示范基地。</w:t>
      </w:r>
    </w:p>
    <w:p w14:paraId="3AB21B45">
      <w:pPr>
        <w:numPr>
          <w:ilvl w:val="0"/>
          <w:numId w:val="9"/>
        </w:numPr>
        <w:spacing w:before="120" w:after="120" w:line="288" w:lineRule="auto"/>
        <w:ind w:left="0"/>
        <w:jc w:val="left"/>
      </w:pPr>
      <w:r>
        <w:rPr>
          <w:rFonts w:ascii="Arial" w:hAnsi="Arial" w:eastAsia="等线" w:cs="Arial"/>
          <w:b/>
          <w:sz w:val="22"/>
        </w:rPr>
        <w:t>共富深化期（2023-2024）</w:t>
      </w:r>
      <w:r>
        <w:rPr>
          <w:rFonts w:ascii="Arial" w:hAnsi="Arial" w:eastAsia="等线" w:cs="Arial"/>
          <w:sz w:val="22"/>
        </w:rPr>
        <w:t>：依托清远市委"五大百亿产业"规划，企业构建"党建+产业+扶贫"模式，2024年带动茶农人均可支配收入较2014年增长3倍，远超全省农村平均水平。</w:t>
      </w:r>
    </w:p>
    <w:p w14:paraId="5FE6D98C">
      <w:pPr>
        <w:spacing w:before="320" w:after="120" w:line="288" w:lineRule="auto"/>
        <w:ind w:left="0"/>
        <w:jc w:val="left"/>
        <w:outlineLvl w:val="1"/>
      </w:pPr>
      <w:bookmarkStart w:id="7" w:name="heading_8"/>
      <w:r>
        <w:rPr>
          <w:rFonts w:ascii="Arial" w:hAnsi="Arial" w:eastAsia="等线" w:cs="Arial"/>
          <w:b/>
          <w:sz w:val="32"/>
        </w:rPr>
        <w:t>三、主要做法："一地生五金"模式的实践落地</w:t>
      </w:r>
      <w:bookmarkEnd w:id="7"/>
    </w:p>
    <w:p w14:paraId="06958DEA">
      <w:pPr>
        <w:spacing w:before="300" w:after="120" w:line="288" w:lineRule="auto"/>
        <w:ind w:left="0"/>
        <w:jc w:val="left"/>
        <w:outlineLvl w:val="2"/>
      </w:pPr>
      <w:bookmarkStart w:id="8" w:name="heading_9"/>
      <w:r>
        <w:rPr>
          <w:rFonts w:ascii="Arial" w:hAnsi="Arial" w:eastAsia="等线" w:cs="Arial"/>
          <w:b/>
          <w:sz w:val="30"/>
        </w:rPr>
        <w:t>1. 土地整合筑基：激活"五金"之源</w:t>
      </w:r>
      <w:bookmarkEnd w:id="8"/>
    </w:p>
    <w:p w14:paraId="4DEBDFBD">
      <w:pPr>
        <w:spacing w:before="120" w:after="120" w:line="288" w:lineRule="auto"/>
        <w:ind w:left="0"/>
        <w:jc w:val="left"/>
      </w:pPr>
      <w:r>
        <w:rPr>
          <w:rFonts w:ascii="Arial" w:hAnsi="Arial" w:eastAsia="等线" w:cs="Arial"/>
          <w:sz w:val="22"/>
        </w:rPr>
        <w:t>以土地资源整合为核心抓手，通过市场化运作与制度化保障，激活土地要素价值，为"五金"增收体系奠定基础，践行习近平总书记"把短板变成潜力板"的重要指示：</w:t>
      </w:r>
    </w:p>
    <w:p w14:paraId="42FC1BA2">
      <w:pPr>
        <w:numPr>
          <w:ilvl w:val="0"/>
          <w:numId w:val="10"/>
        </w:numPr>
        <w:spacing w:before="120" w:after="120" w:line="288" w:lineRule="auto"/>
        <w:ind w:left="0"/>
        <w:jc w:val="left"/>
      </w:pPr>
      <w:r>
        <w:rPr>
          <w:rFonts w:ascii="Arial" w:hAnsi="Arial" w:eastAsia="等线" w:cs="Arial"/>
          <w:b/>
          <w:sz w:val="22"/>
        </w:rPr>
        <w:t>规模化流转聚合力</w:t>
      </w:r>
      <w:r>
        <w:rPr>
          <w:rFonts w:ascii="Arial" w:hAnsi="Arial" w:eastAsia="等线" w:cs="Arial"/>
          <w:sz w:val="22"/>
        </w:rPr>
        <w:t>：由企业牵头联合村集体，通过"自愿流转+保底收益"模式，整合石灰铺镇勤丰等4个村碎片化土地3300亩建设生态茶园，同步通过订单农业联动周边8000亩茶园，形成"核心基地+辐射农户"的土地利用格局。土地流转价格按每年每亩800-1000元执行，较散户自主经营亩均收益提升40%，保障村民稳定获得"租金"收益。</w:t>
      </w:r>
    </w:p>
    <w:p w14:paraId="0C3F9A64">
      <w:pPr>
        <w:numPr>
          <w:ilvl w:val="0"/>
          <w:numId w:val="11"/>
        </w:numPr>
        <w:spacing w:before="120" w:after="120" w:line="288" w:lineRule="auto"/>
        <w:ind w:left="0"/>
        <w:jc w:val="left"/>
      </w:pPr>
      <w:r>
        <w:rPr>
          <w:rFonts w:ascii="Arial" w:hAnsi="Arial" w:eastAsia="等线" w:cs="Arial"/>
          <w:b/>
          <w:sz w:val="22"/>
        </w:rPr>
        <w:t>合作社运营强联结</w:t>
      </w:r>
      <w:r>
        <w:rPr>
          <w:rFonts w:ascii="Arial" w:hAnsi="Arial" w:eastAsia="等线" w:cs="Arial"/>
          <w:sz w:val="22"/>
        </w:rPr>
        <w:t>：成立茶叶专业合作社，吸纳107户贫困户以土地经营权入股，企业注入技术、资金等资源共建产业基地，合作社按"保底收益+利润分红"模式分配，贫困户年均获得资产性收益3500元以上，实现"入股得红金"。</w:t>
      </w:r>
    </w:p>
    <w:p w14:paraId="282CA66B">
      <w:pPr>
        <w:numPr>
          <w:ilvl w:val="0"/>
          <w:numId w:val="12"/>
        </w:numPr>
        <w:spacing w:before="120" w:after="120" w:line="288" w:lineRule="auto"/>
        <w:ind w:left="0"/>
        <w:jc w:val="left"/>
      </w:pPr>
      <w:r>
        <w:rPr>
          <w:rFonts w:ascii="Arial" w:hAnsi="Arial" w:eastAsia="等线" w:cs="Arial"/>
          <w:b/>
          <w:sz w:val="22"/>
        </w:rPr>
        <w:t>政策保障稳预期</w:t>
      </w:r>
      <w:r>
        <w:rPr>
          <w:rFonts w:ascii="Arial" w:hAnsi="Arial" w:eastAsia="等线" w:cs="Arial"/>
          <w:sz w:val="22"/>
        </w:rPr>
        <w:t>：依托清远市城乡财产收益同权化改革政策，通过"户代表签字+村集体见证"固化土地流转与入股权益，明确流转期限、收益调整机制等核心条款，解决村民"流转怕吃亏、入股怕风险"的顾虑，2024年土地流转续约率达100%。</w:t>
      </w:r>
    </w:p>
    <w:p w14:paraId="40DA68AA">
      <w:pPr>
        <w:spacing w:before="300" w:after="120" w:line="288" w:lineRule="auto"/>
        <w:ind w:left="0"/>
        <w:jc w:val="left"/>
        <w:outlineLvl w:val="2"/>
      </w:pPr>
      <w:bookmarkStart w:id="9" w:name="heading_10"/>
      <w:r>
        <w:rPr>
          <w:rFonts w:ascii="Arial" w:hAnsi="Arial" w:eastAsia="等线" w:cs="Arial"/>
          <w:b/>
          <w:sz w:val="30"/>
        </w:rPr>
        <w:t>2. 多元就业赋能：夯实"工资"之基</w:t>
      </w:r>
      <w:bookmarkEnd w:id="9"/>
    </w:p>
    <w:p w14:paraId="06E0B419">
      <w:pPr>
        <w:spacing w:before="120" w:after="120" w:line="288" w:lineRule="auto"/>
        <w:ind w:left="0"/>
        <w:jc w:val="left"/>
      </w:pPr>
      <w:r>
        <w:rPr>
          <w:rFonts w:ascii="Arial" w:hAnsi="Arial" w:eastAsia="等线" w:cs="Arial"/>
          <w:sz w:val="22"/>
        </w:rPr>
        <w:t>以产业发展创造多元就业岗位，通过技能培训与岗位适配，让村民实现"家门口就业"，稳定获得工资性收入，这是"一地生五金"中覆盖面最广的收益来源：</w:t>
      </w:r>
    </w:p>
    <w:p w14:paraId="405BCD48">
      <w:pPr>
        <w:numPr>
          <w:ilvl w:val="0"/>
          <w:numId w:val="13"/>
        </w:numPr>
        <w:spacing w:before="120" w:after="120" w:line="288" w:lineRule="auto"/>
        <w:ind w:left="0"/>
        <w:jc w:val="left"/>
      </w:pPr>
      <w:r>
        <w:rPr>
          <w:rFonts w:ascii="Arial" w:hAnsi="Arial" w:eastAsia="等线" w:cs="Arial"/>
          <w:b/>
          <w:sz w:val="22"/>
        </w:rPr>
        <w:t>全产业链设岗扩就业</w:t>
      </w:r>
      <w:r>
        <w:rPr>
          <w:rFonts w:ascii="Arial" w:hAnsi="Arial" w:eastAsia="等线" w:cs="Arial"/>
          <w:sz w:val="22"/>
        </w:rPr>
        <w:t>：在茶园种植、茶叶加工、文旅服务等全链条设置岗位，优先聘用流转土地村民与贫困户，2024年共提供稳定就业岗位300多个，其中贫困户岗位占比达40%，人均年工资2.88万元，较当地传统农业岗位增收1.5倍，实现"务工得薪金"。</w:t>
      </w:r>
    </w:p>
    <w:p w14:paraId="3B17D7B6">
      <w:pPr>
        <w:numPr>
          <w:ilvl w:val="0"/>
          <w:numId w:val="14"/>
        </w:numPr>
        <w:spacing w:before="120" w:after="120" w:line="288" w:lineRule="auto"/>
        <w:ind w:left="0"/>
        <w:jc w:val="left"/>
      </w:pPr>
      <w:r>
        <w:rPr>
          <w:rFonts w:ascii="Arial" w:hAnsi="Arial" w:eastAsia="等线" w:cs="Arial"/>
          <w:b/>
          <w:sz w:val="22"/>
        </w:rPr>
        <w:t>技能培训提质量</w:t>
      </w:r>
      <w:r>
        <w:rPr>
          <w:rFonts w:ascii="Arial" w:hAnsi="Arial" w:eastAsia="等线" w:cs="Arial"/>
          <w:sz w:val="22"/>
        </w:rPr>
        <w:t>：联合英德市职业技术学校建立实训基地，开设茶叶种植、制茶工艺、电商运营等专项培训，年均培训500余人次，茶农鲜叶采摘效率提升30%，加工岗位持证上岗率达80%，高技能岗位工资较基础岗位高出60%。</w:t>
      </w:r>
    </w:p>
    <w:p w14:paraId="060FF5BB">
      <w:pPr>
        <w:numPr>
          <w:ilvl w:val="0"/>
          <w:numId w:val="15"/>
        </w:numPr>
        <w:spacing w:before="120" w:after="120" w:line="288" w:lineRule="auto"/>
        <w:ind w:left="0"/>
        <w:jc w:val="left"/>
      </w:pPr>
      <w:r>
        <w:rPr>
          <w:rFonts w:ascii="Arial" w:hAnsi="Arial" w:eastAsia="等线" w:cs="Arial"/>
          <w:b/>
          <w:sz w:val="22"/>
        </w:rPr>
        <w:t>灵活用工解难题</w:t>
      </w:r>
      <w:r>
        <w:rPr>
          <w:rFonts w:ascii="Arial" w:hAnsi="Arial" w:eastAsia="等线" w:cs="Arial"/>
          <w:sz w:val="22"/>
        </w:rPr>
        <w:t>：针对茶产业季节性特点，建立"采茶工数据库"，通过"树下议事会"统筹跨村劳动力调度，2024年春茶季临时用工达2000人次，人均获得季节性收入8000元，有效利用农闲时间增收。</w:t>
      </w:r>
    </w:p>
    <w:p w14:paraId="4552E604">
      <w:pPr>
        <w:spacing w:before="300" w:after="120" w:line="288" w:lineRule="auto"/>
        <w:ind w:left="0"/>
        <w:jc w:val="left"/>
        <w:outlineLvl w:val="2"/>
      </w:pPr>
      <w:bookmarkStart w:id="10" w:name="heading_11"/>
      <w:r>
        <w:rPr>
          <w:rFonts w:ascii="Arial" w:hAnsi="Arial" w:eastAsia="等线" w:cs="Arial"/>
          <w:b/>
          <w:sz w:val="30"/>
        </w:rPr>
        <w:t>3. 业态融合增值：拓展"经营与基金"之利</w:t>
      </w:r>
      <w:bookmarkEnd w:id="10"/>
    </w:p>
    <w:p w14:paraId="726638F9">
      <w:pPr>
        <w:spacing w:before="120" w:after="120" w:line="288" w:lineRule="auto"/>
        <w:ind w:left="0"/>
        <w:jc w:val="left"/>
      </w:pPr>
      <w:r>
        <w:rPr>
          <w:rFonts w:ascii="Arial" w:hAnsi="Arial" w:eastAsia="等线" w:cs="Arial"/>
          <w:sz w:val="22"/>
        </w:rPr>
        <w:t>推动一二三产深度融合，培育多元经营业态，同时设立公益基金，让村民获得经营性收入与发展资金，实现"一地生五金"的全链条覆盖：</w:t>
      </w:r>
    </w:p>
    <w:p w14:paraId="0B442D56">
      <w:pPr>
        <w:numPr>
          <w:ilvl w:val="0"/>
          <w:numId w:val="16"/>
        </w:numPr>
        <w:spacing w:before="120" w:after="120" w:line="288" w:lineRule="auto"/>
        <w:ind w:left="0"/>
        <w:jc w:val="left"/>
      </w:pPr>
      <w:r>
        <w:rPr>
          <w:rFonts w:ascii="Arial" w:hAnsi="Arial" w:eastAsia="等线" w:cs="Arial"/>
          <w:b/>
          <w:sz w:val="22"/>
        </w:rPr>
        <w:t>合作社带动强经营</w:t>
      </w:r>
      <w:r>
        <w:rPr>
          <w:rFonts w:ascii="Arial" w:hAnsi="Arial" w:eastAsia="等线" w:cs="Arial"/>
          <w:sz w:val="22"/>
        </w:rPr>
        <w:t>：引导村民以家庭为单位加盟合作社，参与茶叶初加工、包装、电商客服等经营环节，合作社提供统一品牌、渠道与技术支持，2024年加盟农户户均经营性收入达2.5万元，实现"经营得酬金"。</w:t>
      </w:r>
    </w:p>
    <w:p w14:paraId="157D2213">
      <w:pPr>
        <w:numPr>
          <w:ilvl w:val="0"/>
          <w:numId w:val="17"/>
        </w:numPr>
        <w:spacing w:before="120" w:after="120" w:line="288" w:lineRule="auto"/>
        <w:ind w:left="0"/>
        <w:jc w:val="left"/>
      </w:pPr>
      <w:r>
        <w:rPr>
          <w:rFonts w:ascii="Arial" w:hAnsi="Arial" w:eastAsia="等线" w:cs="Arial"/>
          <w:b/>
          <w:sz w:val="22"/>
        </w:rPr>
        <w:t>茶旅融合拓空间</w:t>
      </w:r>
      <w:r>
        <w:rPr>
          <w:rFonts w:ascii="Arial" w:hAnsi="Arial" w:eastAsia="等线" w:cs="Arial"/>
          <w:sz w:val="22"/>
        </w:rPr>
        <w:t>：打造"茶趣园"文旅IP，建设网红悬空大茶壶、茶文化体验馆等景观，开发茶叶手作、茶山露营等体验项目，带动周边村民开办农家乐12家、民宿8家，户均年增收5万元以上，形成"企业带产业、产业带农户"的经营格局。</w:t>
      </w:r>
    </w:p>
    <w:p w14:paraId="5AE327DE">
      <w:pPr>
        <w:numPr>
          <w:ilvl w:val="0"/>
          <w:numId w:val="18"/>
        </w:numPr>
        <w:spacing w:before="120" w:after="120" w:line="288" w:lineRule="auto"/>
        <w:ind w:left="0"/>
        <w:jc w:val="left"/>
      </w:pPr>
      <w:r>
        <w:rPr>
          <w:rFonts w:ascii="Arial" w:hAnsi="Arial" w:eastAsia="等线" w:cs="Arial"/>
          <w:b/>
          <w:sz w:val="22"/>
        </w:rPr>
        <w:t>公益基金促共享</w:t>
      </w:r>
      <w:r>
        <w:rPr>
          <w:rFonts w:ascii="Arial" w:hAnsi="Arial" w:eastAsia="等线" w:cs="Arial"/>
          <w:sz w:val="22"/>
        </w:rPr>
        <w:t>：设立"英州红扶贫爱心基金"，企业旗下喜年达天猫旗舰店每售出一份茶叶捐资2元，2024年基金规模达80万元，为186户贫困户提供生产发展资金与生活帮扶，同时用于茶农技能培训与产业基础设施改善，实现"公益得助金"。</w:t>
      </w:r>
    </w:p>
    <w:p w14:paraId="13F6738E">
      <w:pPr>
        <w:spacing w:before="320" w:after="120" w:line="288" w:lineRule="auto"/>
        <w:ind w:left="0"/>
        <w:jc w:val="left"/>
        <w:outlineLvl w:val="1"/>
      </w:pPr>
      <w:bookmarkStart w:id="11" w:name="heading_12"/>
      <w:r>
        <w:rPr>
          <w:rFonts w:ascii="Arial" w:hAnsi="Arial" w:eastAsia="等线" w:cs="Arial"/>
          <w:b/>
          <w:sz w:val="32"/>
        </w:rPr>
        <w:t>四、实践成效：产业振兴与共同富裕双向赋能</w:t>
      </w:r>
      <w:bookmarkEnd w:id="11"/>
    </w:p>
    <w:p w14:paraId="3A671084">
      <w:pPr>
        <w:spacing w:before="300" w:after="120" w:line="288" w:lineRule="auto"/>
        <w:ind w:left="0"/>
        <w:jc w:val="left"/>
        <w:outlineLvl w:val="2"/>
      </w:pPr>
      <w:bookmarkStart w:id="12" w:name="heading_13"/>
      <w:r>
        <w:rPr>
          <w:rFonts w:ascii="Arial" w:hAnsi="Arial" w:eastAsia="等线" w:cs="Arial"/>
          <w:b/>
          <w:sz w:val="30"/>
        </w:rPr>
        <w:t>1. 产业规模与质量双提升</w:t>
      </w:r>
      <w:bookmarkEnd w:id="12"/>
    </w:p>
    <w:p w14:paraId="17579195">
      <w:pPr>
        <w:spacing w:before="120" w:after="120" w:line="288" w:lineRule="auto"/>
        <w:ind w:left="0"/>
        <w:jc w:val="left"/>
      </w:pPr>
      <w:r>
        <w:rPr>
          <w:rFonts w:ascii="Arial" w:hAnsi="Arial" w:eastAsia="等线" w:cs="Arial"/>
          <w:sz w:val="22"/>
        </w:rPr>
        <w:t>企业带动效应显著，推动英德红茶产业实现量级跨越：2024年英德全市茶园面积超18万亩，干茶产量1.8万吨，综合产值突破90亿元，较2020年翻倍，年均增速18.9%，远超全省农业平均增速；企业自身年加工能力达120万斤，带动上下游配套企业15家，形成从种苗培育到废弃物利用的完整产业集群。</w:t>
      </w:r>
    </w:p>
    <w:p w14:paraId="73C7DDD2">
      <w:pPr>
        <w:spacing w:before="300" w:after="120" w:line="288" w:lineRule="auto"/>
        <w:ind w:left="0"/>
        <w:jc w:val="left"/>
        <w:outlineLvl w:val="2"/>
      </w:pPr>
      <w:bookmarkStart w:id="13" w:name="heading_14"/>
      <w:r>
        <w:rPr>
          <w:rFonts w:ascii="Arial" w:hAnsi="Arial" w:eastAsia="等线" w:cs="Arial"/>
          <w:b/>
          <w:sz w:val="30"/>
        </w:rPr>
        <w:t>2. 共同富裕成效可感可及</w:t>
      </w:r>
      <w:bookmarkEnd w:id="13"/>
    </w:p>
    <w:p w14:paraId="461B7C86">
      <w:pPr>
        <w:spacing w:before="120" w:after="120" w:line="288" w:lineRule="auto"/>
        <w:ind w:left="0"/>
        <w:jc w:val="left"/>
      </w:pPr>
      <w:r>
        <w:rPr>
          <w:rFonts w:ascii="Arial" w:hAnsi="Arial" w:eastAsia="等线" w:cs="Arial"/>
          <w:sz w:val="22"/>
        </w:rPr>
        <w:t>构建"工资+租金+分红+公益"多元增收体系，茶农获得感持续增强：为300多名贫困户提供稳定就业岗位，人均年工资2.88万元，较当地传统农业岗位增收1.5倍；土地流转户均年增收4000元，二次分红户均1.2万元；通过技能培训带动400多户茶农提升种植技术，户均增产15%。2024年主产区茶农人均可支配收入达4.2万元，是2014年的3倍，城乡收入差距较全市平均水平小23%。</w:t>
      </w:r>
    </w:p>
    <w:p w14:paraId="164856ED">
      <w:pPr>
        <w:spacing w:before="300" w:after="120" w:line="288" w:lineRule="auto"/>
        <w:ind w:left="0"/>
        <w:jc w:val="left"/>
        <w:outlineLvl w:val="2"/>
      </w:pPr>
      <w:bookmarkStart w:id="14" w:name="heading_15"/>
      <w:r>
        <w:rPr>
          <w:rFonts w:ascii="Arial" w:hAnsi="Arial" w:eastAsia="等线" w:cs="Arial"/>
          <w:b/>
          <w:sz w:val="30"/>
        </w:rPr>
        <w:t>3. 品牌与生态价值双丰收</w:t>
      </w:r>
      <w:bookmarkEnd w:id="14"/>
    </w:p>
    <w:p w14:paraId="5045FAFD">
      <w:pPr>
        <w:spacing w:before="120" w:after="120" w:line="288" w:lineRule="auto"/>
        <w:ind w:left="0"/>
        <w:jc w:val="left"/>
      </w:pPr>
      <w:r>
        <w:rPr>
          <w:rFonts w:ascii="Arial" w:hAnsi="Arial" w:eastAsia="等线" w:cs="Arial"/>
          <w:sz w:val="22"/>
        </w:rPr>
        <w:t>"英德红茶"区域公用品牌价值从2019年23.63亿元提升至2024年58.7亿元，位列全国红茶品类前三（中国茶叶流通协会2024评估）；企业产品获第二届中国（南昌）国际茶叶博览会优质奖等多项荣誉，对RCEP成员国出口额年均增长25%。生态方面，生态茶园认证面积占比达48%，"茶光互补"模式试点实现每亩茶园年增光伏收益3000元，实现"生态美"与"百姓富"的统一。</w:t>
      </w:r>
    </w:p>
    <w:p w14:paraId="2F239D20">
      <w:pPr>
        <w:spacing w:before="300" w:after="120" w:line="288" w:lineRule="auto"/>
        <w:ind w:left="0"/>
        <w:jc w:val="left"/>
        <w:outlineLvl w:val="2"/>
      </w:pPr>
      <w:bookmarkStart w:id="15" w:name="heading_16"/>
      <w:r>
        <w:rPr>
          <w:rFonts w:ascii="Arial" w:hAnsi="Arial" w:eastAsia="等线" w:cs="Arial"/>
          <w:b/>
          <w:sz w:val="30"/>
        </w:rPr>
        <w:t>4. 人才与社会效应凸显</w:t>
      </w:r>
      <w:bookmarkEnd w:id="15"/>
    </w:p>
    <w:p w14:paraId="0492A313">
      <w:pPr>
        <w:spacing w:before="120" w:after="120" w:line="288" w:lineRule="auto"/>
        <w:ind w:left="0"/>
        <w:jc w:val="left"/>
      </w:pPr>
      <w:r>
        <w:rPr>
          <w:rFonts w:ascii="Arial" w:hAnsi="Arial" w:eastAsia="等线" w:cs="Arial"/>
          <w:sz w:val="22"/>
        </w:rPr>
        <w:t>与英德市职业技术学校共建电子商务校外实习基地，年均培养电商人才50余人，毕业生本地就业率达60%；吸引28名大学生返乡创业，开发茶文创、线上直播等新业态。企业获"百企扶百村爱心企业""广东省农村电商品牌建设突出奖"等荣誉，相关案例入选广东省"百县千镇万村高质量发展工程"典型案例汇编。</w:t>
      </w:r>
    </w:p>
    <w:p w14:paraId="57D8EC47">
      <w:pPr>
        <w:spacing w:before="320" w:after="120" w:line="288" w:lineRule="auto"/>
        <w:ind w:left="0"/>
        <w:jc w:val="left"/>
        <w:outlineLvl w:val="1"/>
      </w:pPr>
      <w:bookmarkStart w:id="16" w:name="heading_17"/>
      <w:r>
        <w:rPr>
          <w:rFonts w:ascii="Arial" w:hAnsi="Arial" w:eastAsia="等线" w:cs="Arial"/>
          <w:b/>
          <w:sz w:val="32"/>
        </w:rPr>
        <w:t>五、经验启示："一地生五金"模式的推广价值</w:t>
      </w:r>
      <w:bookmarkEnd w:id="16"/>
    </w:p>
    <w:p w14:paraId="6BCD8969">
      <w:pPr>
        <w:spacing w:before="300" w:after="120" w:line="288" w:lineRule="auto"/>
        <w:ind w:left="0"/>
        <w:jc w:val="left"/>
        <w:outlineLvl w:val="2"/>
      </w:pPr>
      <w:bookmarkStart w:id="17" w:name="heading_18"/>
      <w:r>
        <w:rPr>
          <w:rFonts w:ascii="Arial" w:hAnsi="Arial" w:eastAsia="等线" w:cs="Arial"/>
          <w:b/>
          <w:sz w:val="30"/>
        </w:rPr>
        <w:t>1. 土地整合是核心前提：做好"资源变资产"文章</w:t>
      </w:r>
      <w:bookmarkEnd w:id="17"/>
    </w:p>
    <w:p w14:paraId="2CC0840A">
      <w:pPr>
        <w:spacing w:before="120" w:after="120" w:line="288" w:lineRule="auto"/>
        <w:ind w:left="0"/>
        <w:jc w:val="left"/>
      </w:pPr>
      <w:r>
        <w:rPr>
          <w:rFonts w:ascii="Arial" w:hAnsi="Arial" w:eastAsia="等线" w:cs="Arial"/>
          <w:sz w:val="22"/>
        </w:rPr>
        <w:t>英德实践证明，"一地生五金"的关键在于通过土地规模化流转与集约化经营，激活农村最核心的土地资源价值。项目通过"企业+村集体+合作社"三方联动，既保障了村民土地权益，又实现了产业发展所需的规模效应。其核心启示在于：农村土地改革需坚持"自愿有偿、利益共享"原则，通过市场化运作让村民从土地流转中获得稳定收益，同时以合作社为纽带让村民深度参与产业发展，实现"土地增值与村民增收"同步。</w:t>
      </w:r>
    </w:p>
    <w:p w14:paraId="2A346A4A">
      <w:pPr>
        <w:spacing w:before="300" w:after="120" w:line="288" w:lineRule="auto"/>
        <w:ind w:left="0"/>
        <w:jc w:val="left"/>
        <w:outlineLvl w:val="2"/>
      </w:pPr>
      <w:bookmarkStart w:id="18" w:name="heading_19"/>
      <w:r>
        <w:rPr>
          <w:rFonts w:ascii="Arial" w:hAnsi="Arial" w:eastAsia="等线" w:cs="Arial"/>
          <w:b/>
          <w:sz w:val="30"/>
        </w:rPr>
        <w:t>2. 利益多元是关键支撑：构建"全链条增收"体系</w:t>
      </w:r>
      <w:bookmarkEnd w:id="18"/>
    </w:p>
    <w:p w14:paraId="2754927E">
      <w:pPr>
        <w:spacing w:before="120" w:after="120" w:line="288" w:lineRule="auto"/>
        <w:ind w:left="0"/>
        <w:jc w:val="left"/>
      </w:pPr>
      <w:r>
        <w:rPr>
          <w:rFonts w:ascii="Arial" w:hAnsi="Arial" w:eastAsia="等线" w:cs="Arial"/>
          <w:sz w:val="22"/>
        </w:rPr>
        <w:t>"一地生五金"模式的生命力在于构建了覆盖"租金、工资、红利、酬金、助金"的多元增收体系，让村民在产业发展各环节都能获得收益。英德红茶业有限公司通过岗位设置、合作社运营、基金帮扶等举措，使400多户茶农人均可支配收入达4.2万元，是2014年的3倍。这启示我们：乡村产业振兴需摒弃"单一就业或单一分红"的简单模式，通过全链条利益联结机制，让村民从产业参与者转变为利益共享者，增强产业发展的内生动力。</w:t>
      </w:r>
    </w:p>
    <w:p w14:paraId="2F4FE72F">
      <w:pPr>
        <w:spacing w:before="300" w:after="120" w:line="288" w:lineRule="auto"/>
        <w:ind w:left="0"/>
        <w:jc w:val="left"/>
        <w:outlineLvl w:val="2"/>
      </w:pPr>
      <w:bookmarkStart w:id="19" w:name="heading_20"/>
      <w:r>
        <w:rPr>
          <w:rFonts w:ascii="Arial" w:hAnsi="Arial" w:eastAsia="等线" w:cs="Arial"/>
          <w:b/>
          <w:sz w:val="30"/>
        </w:rPr>
        <w:t>3. 业态融合是必由之路：延伸"土地价值"链条</w:t>
      </w:r>
      <w:bookmarkEnd w:id="19"/>
    </w:p>
    <w:p w14:paraId="7F9712ED">
      <w:pPr>
        <w:spacing w:before="120" w:after="120" w:line="288" w:lineRule="auto"/>
        <w:ind w:left="0"/>
        <w:jc w:val="left"/>
      </w:pPr>
      <w:r>
        <w:rPr>
          <w:rFonts w:ascii="Arial" w:hAnsi="Arial" w:eastAsia="等线" w:cs="Arial"/>
          <w:sz w:val="22"/>
        </w:rPr>
        <w:t>英德实践打破了"土地仅能种植"的传统认知，通过"农业+加工+文旅"融合发展，使每亩土地综合收益从单纯种植的2000元提升至1.5万元，实现土地价值7倍增长。"茶趣园"年接待游客30多万人次，带动的文旅收入占企业总收入的35%，印证了业态融合的增值效应。其路径启示：粤北生态发展区需立足土地资源与生态优势，推动农业与二产深加工、三产服务业深度融合，通过"一产筑基、二产增值、三产引流"，让土地价值在多业态延伸中持续提升。</w:t>
      </w:r>
    </w:p>
    <w:p w14:paraId="1048A0A0">
      <w:pPr>
        <w:spacing w:before="300" w:after="120" w:line="288" w:lineRule="auto"/>
        <w:ind w:left="0"/>
        <w:jc w:val="left"/>
        <w:outlineLvl w:val="2"/>
      </w:pPr>
      <w:bookmarkStart w:id="20" w:name="heading_21"/>
      <w:r>
        <w:rPr>
          <w:rFonts w:ascii="Arial" w:hAnsi="Arial" w:eastAsia="等线" w:cs="Arial"/>
          <w:b/>
          <w:sz w:val="30"/>
        </w:rPr>
        <w:t>4. 龙头带动是重要保障：强化"多方协同"能力</w:t>
      </w:r>
      <w:bookmarkEnd w:id="20"/>
    </w:p>
    <w:p w14:paraId="09FF0D57">
      <w:pPr>
        <w:spacing w:before="120" w:after="120" w:line="288" w:lineRule="auto"/>
        <w:ind w:left="0"/>
        <w:jc w:val="left"/>
      </w:pPr>
      <w:r>
        <w:rPr>
          <w:rFonts w:ascii="Arial" w:hAnsi="Arial" w:eastAsia="等线" w:cs="Arial"/>
          <w:sz w:val="22"/>
        </w:rPr>
        <w:t>"一地生五金"模式的落地离不开龙头企业的资源整合与带动能力。英德红茶业有限公司通过投入资金建设6800㎡加工厂、打造电商矩阵、开发文旅IP，为村民提供了就业岗位、经营平台与收益渠道；同时联动村集体、院校、金融机构等多方主体，形成"企业主导、多方协同"的发展格局。这启示我们：需强化农业龙头企业培育，通过政策扶持引导企业下沉乡村，发挥其在技术、市场、资金等方面的优势，带动小农户嵌入现代产业体系，实现"企业发展与乡村振兴"双赢。</w:t>
      </w:r>
    </w:p>
    <w:p w14:paraId="670EB972">
      <w:pPr>
        <w:spacing w:before="320" w:after="120" w:line="288" w:lineRule="auto"/>
        <w:ind w:left="0"/>
        <w:jc w:val="left"/>
        <w:outlineLvl w:val="1"/>
      </w:pPr>
      <w:bookmarkStart w:id="21" w:name="heading_22"/>
      <w:r>
        <w:rPr>
          <w:rFonts w:ascii="Arial" w:hAnsi="Arial" w:eastAsia="等线" w:cs="Arial"/>
          <w:b/>
          <w:sz w:val="32"/>
        </w:rPr>
        <w:t>六、结论与展望</w:t>
      </w:r>
      <w:bookmarkEnd w:id="21"/>
    </w:p>
    <w:p w14:paraId="2B1BF622">
      <w:pPr>
        <w:spacing w:before="300" w:after="120" w:line="288" w:lineRule="auto"/>
        <w:ind w:left="0"/>
        <w:jc w:val="left"/>
        <w:outlineLvl w:val="2"/>
      </w:pPr>
      <w:bookmarkStart w:id="22" w:name="heading_23"/>
      <w:r>
        <w:rPr>
          <w:rFonts w:ascii="Arial" w:hAnsi="Arial" w:eastAsia="等线" w:cs="Arial"/>
          <w:b/>
          <w:sz w:val="30"/>
        </w:rPr>
        <w:t>1. 核心结论</w:t>
      </w:r>
      <w:bookmarkEnd w:id="22"/>
    </w:p>
    <w:p w14:paraId="1EA2D98F">
      <w:pPr>
        <w:spacing w:before="120" w:after="120" w:line="288" w:lineRule="auto"/>
        <w:ind w:left="0"/>
        <w:jc w:val="left"/>
      </w:pPr>
      <w:r>
        <w:rPr>
          <w:rFonts w:ascii="Arial" w:hAnsi="Arial" w:eastAsia="等线" w:cs="Arial"/>
          <w:sz w:val="22"/>
        </w:rPr>
        <w:t>英德市石灰铺镇"茶趣园"项目的实践表明，粤北生态发展区实现共同富裕的关键在于践行"一地生五金"模式：以土地整合激活资源价值，以多元就业保障稳定收入，以业态融合拓展增收渠道，以龙头带动强化协同能力。该模式通过"租金、工资、红利、酬金、助金"五重收益体系，实现了400多户茶农人均可支配收入从2014年0.8万元增至2024年4.2万元的跨越，企业年销售额达3000多万元，茶趣园年接待游客30多万人次，形成"土地增值、企业增效、农民增收"的良性循环，为生态发展区"把生态优势转化为经济优势"提供了可复制的"广东样本"。</w:t>
      </w:r>
    </w:p>
    <w:p w14:paraId="49A3DF9D">
      <w:pPr>
        <w:spacing w:before="300" w:after="120" w:line="288" w:lineRule="auto"/>
        <w:ind w:left="0"/>
        <w:jc w:val="left"/>
        <w:outlineLvl w:val="2"/>
      </w:pPr>
      <w:bookmarkStart w:id="23" w:name="heading_24"/>
      <w:r>
        <w:rPr>
          <w:rFonts w:ascii="Arial" w:hAnsi="Arial" w:eastAsia="等线" w:cs="Arial"/>
          <w:b/>
          <w:sz w:val="30"/>
        </w:rPr>
        <w:t>2. 理论启示</w:t>
      </w:r>
      <w:bookmarkEnd w:id="23"/>
    </w:p>
    <w:p w14:paraId="1B5C10D7">
      <w:pPr>
        <w:numPr>
          <w:ilvl w:val="0"/>
          <w:numId w:val="19"/>
        </w:numPr>
        <w:spacing w:before="120" w:after="120" w:line="288" w:lineRule="auto"/>
        <w:ind w:left="0"/>
        <w:jc w:val="left"/>
      </w:pPr>
      <w:r>
        <w:rPr>
          <w:rFonts w:ascii="Arial" w:hAnsi="Arial" w:eastAsia="等线" w:cs="Arial"/>
          <w:b/>
          <w:sz w:val="22"/>
        </w:rPr>
        <w:t>土地要素市场化的创新实践</w:t>
      </w:r>
      <w:r>
        <w:rPr>
          <w:rFonts w:ascii="Arial" w:hAnsi="Arial" w:eastAsia="等线" w:cs="Arial"/>
          <w:sz w:val="22"/>
        </w:rPr>
        <w:t>："一地生五金"模式突破了传统农业"土地仅用于生产"的局限，通过流转、入股、经营等多元方式实现土地要素市场化配置，验证了"农村土地是重要生产要素"的理论内涵，为农村集体产权制度改革提供了基层经验。</w:t>
      </w:r>
    </w:p>
    <w:p w14:paraId="03EE925A">
      <w:pPr>
        <w:numPr>
          <w:ilvl w:val="0"/>
          <w:numId w:val="20"/>
        </w:numPr>
        <w:spacing w:before="120" w:after="120" w:line="288" w:lineRule="auto"/>
        <w:ind w:left="0"/>
        <w:jc w:val="left"/>
      </w:pPr>
      <w:r>
        <w:rPr>
          <w:rFonts w:ascii="Arial" w:hAnsi="Arial" w:eastAsia="等线" w:cs="Arial"/>
          <w:b/>
          <w:sz w:val="22"/>
        </w:rPr>
        <w:t>共同富裕的精准落地路径</w:t>
      </w:r>
      <w:r>
        <w:rPr>
          <w:rFonts w:ascii="Arial" w:hAnsi="Arial" w:eastAsia="等线" w:cs="Arial"/>
          <w:sz w:val="22"/>
        </w:rPr>
        <w:t>：五重收益体系覆盖不同收入层次村民，既保障贫困户稳定脱贫，又带动普通农户增收，实现"精准滴灌"与"普遍受益"结合，回应了共同富裕"全民共享、分阶段促进"的要求。</w:t>
      </w:r>
    </w:p>
    <w:p w14:paraId="39FE44AF">
      <w:pPr>
        <w:numPr>
          <w:ilvl w:val="0"/>
          <w:numId w:val="21"/>
        </w:numPr>
        <w:spacing w:before="120" w:after="120" w:line="288" w:lineRule="auto"/>
        <w:ind w:left="0"/>
        <w:jc w:val="left"/>
      </w:pPr>
      <w:r>
        <w:rPr>
          <w:rFonts w:ascii="Arial" w:hAnsi="Arial" w:eastAsia="等线" w:cs="Arial"/>
          <w:b/>
          <w:sz w:val="22"/>
        </w:rPr>
        <w:t>生态与经济协同的实现机制</w:t>
      </w:r>
      <w:r>
        <w:rPr>
          <w:rFonts w:ascii="Arial" w:hAnsi="Arial" w:eastAsia="等线" w:cs="Arial"/>
          <w:sz w:val="22"/>
        </w:rPr>
        <w:t>：依托粤北生态优势发展茶叶种植与文旅产业，既保护了生态环境（生态茶园认证面积占比48%），又实现了经济增收，为"两山理论"在山区乡村的落地提供了具象化实践。</w:t>
      </w:r>
    </w:p>
    <w:p w14:paraId="2895B871">
      <w:pPr>
        <w:spacing w:before="300" w:after="120" w:line="288" w:lineRule="auto"/>
        <w:ind w:left="0"/>
        <w:jc w:val="left"/>
        <w:outlineLvl w:val="2"/>
      </w:pPr>
      <w:bookmarkStart w:id="24" w:name="heading_25"/>
      <w:r>
        <w:rPr>
          <w:rFonts w:ascii="Arial" w:hAnsi="Arial" w:eastAsia="等线" w:cs="Arial"/>
          <w:b/>
          <w:sz w:val="30"/>
        </w:rPr>
        <w:t>3. 政策建议</w:t>
      </w:r>
      <w:bookmarkEnd w:id="24"/>
    </w:p>
    <w:p w14:paraId="7AA72FE1">
      <w:pPr>
        <w:numPr>
          <w:ilvl w:val="0"/>
          <w:numId w:val="22"/>
        </w:numPr>
        <w:spacing w:before="120" w:after="120" w:line="288" w:lineRule="auto"/>
        <w:ind w:left="0"/>
        <w:jc w:val="left"/>
      </w:pPr>
      <w:r>
        <w:rPr>
          <w:rFonts w:ascii="Arial" w:hAnsi="Arial" w:eastAsia="等线" w:cs="Arial"/>
          <w:b/>
          <w:sz w:val="22"/>
        </w:rPr>
        <w:t>完善土地流转保障政策</w:t>
      </w:r>
      <w:r>
        <w:rPr>
          <w:rFonts w:ascii="Arial" w:hAnsi="Arial" w:eastAsia="等线" w:cs="Arial"/>
          <w:sz w:val="22"/>
        </w:rPr>
        <w:t>：在粤北、粤西山区推广"基准价+年递增"的土地流转定价机制，建立土地流转履约保证保险制度，设立土地流转服务中心，规范流转流程，保障村民土地权益。</w:t>
      </w:r>
    </w:p>
    <w:p w14:paraId="3D2BC0D7">
      <w:pPr>
        <w:numPr>
          <w:ilvl w:val="0"/>
          <w:numId w:val="23"/>
        </w:numPr>
        <w:spacing w:before="120" w:after="120" w:line="288" w:lineRule="auto"/>
        <w:ind w:left="0"/>
        <w:jc w:val="left"/>
      </w:pPr>
      <w:r>
        <w:rPr>
          <w:rFonts w:ascii="Arial" w:hAnsi="Arial" w:eastAsia="等线" w:cs="Arial"/>
          <w:b/>
          <w:sz w:val="22"/>
        </w:rPr>
        <w:t>强化龙头企业培育扶持</w:t>
      </w:r>
      <w:r>
        <w:rPr>
          <w:rFonts w:ascii="Arial" w:hAnsi="Arial" w:eastAsia="等线" w:cs="Arial"/>
          <w:sz w:val="22"/>
        </w:rPr>
        <w:t>：设立生态农业发展基金，对带动农户超100户的龙头企业给予税收减免、信贷贴息等支持；建立"龙头企业+合作社+农户"利益联结考核机制，将带动增收成效与政策扶持挂钩。</w:t>
      </w:r>
    </w:p>
    <w:p w14:paraId="0898F31F">
      <w:pPr>
        <w:numPr>
          <w:ilvl w:val="0"/>
          <w:numId w:val="24"/>
        </w:numPr>
        <w:spacing w:before="120" w:after="120" w:line="288" w:lineRule="auto"/>
        <w:ind w:left="0"/>
        <w:jc w:val="left"/>
      </w:pPr>
      <w:r>
        <w:rPr>
          <w:rFonts w:ascii="Arial" w:hAnsi="Arial" w:eastAsia="等线" w:cs="Arial"/>
          <w:b/>
          <w:sz w:val="22"/>
        </w:rPr>
        <w:t>推动业态融合政策赋能</w:t>
      </w:r>
      <w:r>
        <w:rPr>
          <w:rFonts w:ascii="Arial" w:hAnsi="Arial" w:eastAsia="等线" w:cs="Arial"/>
          <w:sz w:val="22"/>
        </w:rPr>
        <w:t>：整合农业、文旅、电商等部门政策资源，对"农业+文旅"项目给予基础设施建设补贴；建设区域性农产品加工园区，为二产增值提供平台支撑；搭建农村电商公共服务体系，降低农户经营门槛。</w:t>
      </w:r>
    </w:p>
    <w:p w14:paraId="5418A750">
      <w:pPr>
        <w:numPr>
          <w:ilvl w:val="0"/>
          <w:numId w:val="25"/>
        </w:numPr>
        <w:spacing w:before="120" w:after="120" w:line="288" w:lineRule="auto"/>
        <w:ind w:left="0"/>
        <w:jc w:val="left"/>
      </w:pPr>
      <w:r>
        <w:rPr>
          <w:rFonts w:ascii="Arial" w:hAnsi="Arial" w:eastAsia="等线" w:cs="Arial"/>
          <w:b/>
          <w:sz w:val="22"/>
        </w:rPr>
        <w:t>健全技能培训体系</w:t>
      </w:r>
      <w:r>
        <w:rPr>
          <w:rFonts w:ascii="Arial" w:hAnsi="Arial" w:eastAsia="等线" w:cs="Arial"/>
          <w:sz w:val="22"/>
        </w:rPr>
        <w:t>：构建"院校+企业+合作社"培训联盟，根据产业需求开设定制化课程；建立培训与就业衔接机制，对获得技能证书并稳定就业的村民给予补贴，提升就业质量。</w:t>
      </w:r>
    </w:p>
    <w:p w14:paraId="06E33DDE">
      <w:pPr>
        <w:spacing w:before="300" w:after="120" w:line="288" w:lineRule="auto"/>
        <w:ind w:left="0"/>
        <w:jc w:val="left"/>
        <w:outlineLvl w:val="2"/>
      </w:pPr>
      <w:bookmarkStart w:id="25" w:name="heading_26"/>
      <w:r>
        <w:rPr>
          <w:rFonts w:ascii="Arial" w:hAnsi="Arial" w:eastAsia="等线" w:cs="Arial"/>
          <w:b/>
          <w:sz w:val="30"/>
        </w:rPr>
        <w:t>4. 未来展望</w:t>
      </w:r>
      <w:bookmarkEnd w:id="25"/>
    </w:p>
    <w:p w14:paraId="3C964B65">
      <w:pPr>
        <w:spacing w:before="120" w:after="120" w:line="288" w:lineRule="auto"/>
        <w:ind w:left="0"/>
        <w:jc w:val="left"/>
      </w:pPr>
      <w:r>
        <w:rPr>
          <w:rFonts w:ascii="Arial" w:hAnsi="Arial" w:eastAsia="等线" w:cs="Arial"/>
          <w:sz w:val="22"/>
        </w:rPr>
        <w:t>英德红茶产业未来可从三方面深化"一地生五金"模式：其一，拓展土地利用维度，探索"茶光互补""茶养结合"等新形态，提升土地单位面积收益；其二，强化品牌赋能，依托RCEP政策拓展东南亚市场，建设"国际红茶交易中心"，带动产业链上下游增收，预计2027年带动农户户均增收突破5万元；其三，数字化升级，开发"智慧茶趣园"平台，整合种植、加工、销售、文旅数据，实现精准用工调度、个性化文旅服务，提升"五金"收益的精准性与效率。</w:t>
      </w:r>
    </w:p>
    <w:p w14:paraId="3193CDB2">
      <w:pPr>
        <w:spacing w:before="120" w:after="120" w:line="288" w:lineRule="auto"/>
        <w:ind w:left="0"/>
        <w:jc w:val="left"/>
      </w:pPr>
      <w:r>
        <w:rPr>
          <w:rFonts w:ascii="Arial" w:hAnsi="Arial" w:eastAsia="等线" w:cs="Arial"/>
          <w:sz w:val="22"/>
        </w:rPr>
        <w:t>展望未来，"一地生五金"模式可在粤北生态发展区的水果、中药材、林下经济等特色产业中复制推广。通过"一县一业、一镇一品"精准培育，结合各地资源禀赋调整"五金"收益结构，例如山区林业可侧重"林地租金+管护工资+林下经营收益"，特色水果产业可强化"种植工资+加工酬金+电商分红"，推动形成"多点支撑、各具特色"的乡村振兴新格局，为广东"在推进中国式现代化建设中走在前列"贡献山区实践力量。</w:t>
      </w:r>
    </w:p>
    <w:p w14:paraId="51A02F16">
      <w:pPr>
        <w:spacing w:before="320" w:after="120" w:line="288" w:lineRule="auto"/>
        <w:ind w:left="0"/>
        <w:jc w:val="left"/>
        <w:outlineLvl w:val="1"/>
      </w:pPr>
      <w:bookmarkStart w:id="26" w:name="heading_27"/>
      <w:r>
        <w:rPr>
          <w:rFonts w:ascii="Arial" w:hAnsi="Arial" w:eastAsia="等线" w:cs="Arial"/>
          <w:b/>
          <w:sz w:val="32"/>
        </w:rPr>
        <w:t>参考文献</w:t>
      </w:r>
      <w:bookmarkEnd w:id="26"/>
    </w:p>
    <w:p w14:paraId="3351CF35">
      <w:pPr>
        <w:numPr>
          <w:ilvl w:val="0"/>
          <w:numId w:val="26"/>
        </w:numPr>
        <w:spacing w:before="120" w:after="120" w:line="288" w:lineRule="auto"/>
        <w:ind w:left="0"/>
        <w:jc w:val="left"/>
      </w:pPr>
      <w:r>
        <w:rPr>
          <w:rFonts w:ascii="Arial" w:hAnsi="Arial" w:eastAsia="等线" w:cs="Arial"/>
          <w:sz w:val="22"/>
        </w:rPr>
        <w:t>习近平.高举中国特色社会主义伟大旗帜 为全面建设社会主义现代化国家而团结奋斗——在中国共产党第二十次全国代表大会上的报告[R].北京:人民出版社，2022．</w:t>
      </w:r>
    </w:p>
    <w:p w14:paraId="53D53A2F">
      <w:pPr>
        <w:numPr>
          <w:ilvl w:val="0"/>
          <w:numId w:val="27"/>
        </w:numPr>
        <w:spacing w:before="120" w:after="120" w:line="288" w:lineRule="auto"/>
        <w:ind w:left="0"/>
        <w:jc w:val="left"/>
      </w:pPr>
      <w:r>
        <w:rPr>
          <w:rFonts w:ascii="Arial" w:hAnsi="Arial" w:eastAsia="等线" w:cs="Arial"/>
          <w:sz w:val="22"/>
        </w:rPr>
        <w:t>习近平在广东考察时强调：坚定不移全面深化改革扩大高水平对外开放 在推进中国式现代化建设中走在前列[N].人民日报，2023-04-14.</w:t>
      </w:r>
    </w:p>
    <w:p w14:paraId="18FF7AC7">
      <w:pPr>
        <w:numPr>
          <w:ilvl w:val="0"/>
          <w:numId w:val="28"/>
        </w:numPr>
        <w:spacing w:before="120" w:after="120" w:line="288" w:lineRule="auto"/>
        <w:ind w:left="0"/>
        <w:jc w:val="left"/>
      </w:pPr>
      <w:r>
        <w:rPr>
          <w:rFonts w:ascii="Arial" w:hAnsi="Arial" w:eastAsia="等线" w:cs="Arial"/>
          <w:sz w:val="22"/>
        </w:rPr>
        <w:t>澎湃新闻.清远3天内两登《人民日报》头版!原来是因为......[EB/OL].https://m.thepaper.cn/newsDetail_forward_8309003，2020-07-16.</w:t>
      </w:r>
    </w:p>
    <w:p w14:paraId="65A171CF">
      <w:pPr>
        <w:numPr>
          <w:ilvl w:val="0"/>
          <w:numId w:val="29"/>
        </w:numPr>
        <w:spacing w:before="120" w:after="120" w:line="288" w:lineRule="auto"/>
        <w:ind w:left="0"/>
        <w:jc w:val="left"/>
      </w:pPr>
      <w:r>
        <w:rPr>
          <w:rFonts w:ascii="Arial" w:hAnsi="Arial" w:eastAsia="等线" w:cs="Arial"/>
          <w:sz w:val="22"/>
        </w:rPr>
        <w:t>广东省农业农村厅.广东省"百县千镇万村高质量发展工程"典型案例汇编（2024）[R].</w:t>
      </w:r>
    </w:p>
    <w:p w14:paraId="7AD46B41">
      <w:pPr>
        <w:numPr>
          <w:ilvl w:val="0"/>
          <w:numId w:val="30"/>
        </w:numPr>
        <w:spacing w:before="120" w:after="120" w:line="288" w:lineRule="auto"/>
        <w:ind w:left="0"/>
        <w:jc w:val="left"/>
      </w:pPr>
      <w:r>
        <w:rPr>
          <w:rFonts w:ascii="Arial" w:hAnsi="Arial" w:eastAsia="等线" w:cs="Arial"/>
          <w:sz w:val="22"/>
        </w:rPr>
        <w:t>英德市人民政府.英德红茶产业发展白皮书（2021-2024）[R].</w:t>
      </w:r>
    </w:p>
    <w:p w14:paraId="1BD8E9FF">
      <w:pPr>
        <w:numPr>
          <w:ilvl w:val="0"/>
          <w:numId w:val="31"/>
        </w:numPr>
        <w:spacing w:before="120" w:after="120" w:line="288" w:lineRule="auto"/>
        <w:ind w:left="0"/>
        <w:jc w:val="left"/>
      </w:pPr>
      <w:r>
        <w:rPr>
          <w:rFonts w:ascii="Arial" w:hAnsi="Arial" w:eastAsia="等线" w:cs="Arial"/>
          <w:sz w:val="22"/>
        </w:rPr>
        <w:t>中国茶叶流通协会.中国茶叶区域公用品牌价值评估报告[R].2024.</w:t>
      </w:r>
    </w:p>
    <w:p w14:paraId="460DF704">
      <w:pPr>
        <w:numPr>
          <w:ilvl w:val="0"/>
          <w:numId w:val="32"/>
        </w:numPr>
        <w:spacing w:before="120" w:after="120" w:line="288" w:lineRule="auto"/>
        <w:ind w:left="0"/>
        <w:jc w:val="left"/>
      </w:pPr>
      <w:r>
        <w:rPr>
          <w:rFonts w:ascii="Arial" w:hAnsi="Arial" w:eastAsia="等线" w:cs="Arial"/>
          <w:sz w:val="22"/>
        </w:rPr>
        <w:t>广东省通信管理局.广东省5G+智慧农业应用案例集（2023）[R].</w:t>
      </w:r>
    </w:p>
    <w:p w14:paraId="7E64CCBF">
      <w:pPr>
        <w:numPr>
          <w:ilvl w:val="0"/>
          <w:numId w:val="33"/>
        </w:numPr>
        <w:spacing w:before="120" w:after="120" w:line="288" w:lineRule="auto"/>
        <w:ind w:left="0"/>
        <w:jc w:val="left"/>
      </w:pPr>
      <w:r>
        <w:rPr>
          <w:rFonts w:ascii="Arial" w:hAnsi="Arial" w:eastAsia="等线" w:cs="Arial"/>
          <w:sz w:val="22"/>
        </w:rPr>
        <w:t>南方农村报.英德红茶：一片叶子撬动百亿产业[N].2024-04-12.</w:t>
      </w:r>
    </w:p>
    <w:p w14:paraId="64B09CFB">
      <w:pPr>
        <w:numPr>
          <w:ilvl w:val="0"/>
          <w:numId w:val="34"/>
        </w:numPr>
        <w:spacing w:before="120" w:after="120" w:line="288" w:lineRule="auto"/>
        <w:ind w:left="0"/>
        <w:jc w:val="left"/>
      </w:pPr>
      <w:r>
        <w:rPr>
          <w:rFonts w:ascii="Arial" w:hAnsi="Arial" w:eastAsia="等线" w:cs="Arial"/>
          <w:sz w:val="22"/>
        </w:rPr>
        <w:t>英德红茶业有限公司.企业发展年报（2014-2024）[R].</w:t>
      </w:r>
    </w:p>
    <w:p w14:paraId="53E2EA63">
      <w:pPr>
        <w:numPr>
          <w:ilvl w:val="0"/>
          <w:numId w:val="35"/>
        </w:numPr>
        <w:spacing w:before="120" w:after="120" w:line="288" w:lineRule="auto"/>
        <w:ind w:left="0"/>
        <w:jc w:val="left"/>
      </w:pPr>
      <w:r>
        <w:rPr>
          <w:rFonts w:ascii="Arial" w:hAnsi="Arial" w:eastAsia="等线" w:cs="Arial"/>
          <w:sz w:val="22"/>
        </w:rPr>
        <w:t>中国知识产权报.英德红茶：地理标志赋能乡村振兴[N].2024-12-12.</w:t>
      </w:r>
    </w:p>
    <w:p w14:paraId="6ABD868F">
      <w:pPr>
        <w:spacing w:before="120" w:after="120" w:line="288" w:lineRule="auto"/>
        <w:ind w:left="0"/>
        <w:jc w:val="left"/>
      </w:pPr>
      <w:r>
        <w:rPr>
          <w:rFonts w:ascii="Arial" w:hAnsi="Arial" w:eastAsia="等线" w:cs="Arial"/>
          <w:sz w:val="22"/>
        </w:rPr>
        <w:t>|（注：文档部分内容可能由 AI 生成)</w:t>
      </w:r>
    </w:p>
    <w:p w14:paraId="61BC1D9B">
      <w:pPr>
        <w:spacing w:before="99" w:line="266" w:lineRule="auto"/>
        <w:ind w:right="147"/>
        <w:jc w:val="left"/>
        <w:rPr>
          <w:i/>
          <w:color w:val="006FC0"/>
          <w:sz w:val="22"/>
        </w:rPr>
      </w:pPr>
    </w:p>
    <w:sectPr>
      <w:pgSz w:w="11910" w:h="16840"/>
      <w:pgMar w:top="1500" w:right="1600" w:bottom="280" w:left="16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F"/>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宋体"/>
    <w:panose1 w:val="02010600040101010101"/>
    <w:charset w:val="86"/>
    <w:family w:val="auto"/>
    <w:pitch w:val="default"/>
    <w:sig w:usb0="00000000" w:usb1="00000000" w:usb2="00000000" w:usb3="00000000" w:csb0="0004009F" w:csb1="DFD7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9"/>
      <w:numFmt w:val="decimal"/>
      <w:lvlText w:val="%1."/>
      <w:lvlJc w:val="left"/>
      <w:rPr>
        <w:color w:val="3370FF"/>
      </w:rPr>
    </w:lvl>
  </w:abstractNum>
  <w:abstractNum w:abstractNumId="1">
    <w:nsid w:val="8461FADE"/>
    <w:multiLevelType w:val="singleLevel"/>
    <w:tmpl w:val="8461FADE"/>
    <w:lvl w:ilvl="0" w:tentative="0">
      <w:start w:val="6"/>
      <w:numFmt w:val="decimal"/>
      <w:lvlText w:val="%1."/>
      <w:lvlJc w:val="left"/>
      <w:rPr>
        <w:color w:val="3370FF"/>
      </w:rPr>
    </w:lvl>
  </w:abstractNum>
  <w:abstractNum w:abstractNumId="2">
    <w:nsid w:val="9239341B"/>
    <w:multiLevelType w:val="singleLevel"/>
    <w:tmpl w:val="9239341B"/>
    <w:lvl w:ilvl="0" w:tentative="0">
      <w:start w:val="0"/>
      <w:numFmt w:val="bullet"/>
      <w:lvlText w:val="•"/>
      <w:lvlJc w:val="left"/>
      <w:rPr>
        <w:color w:val="3370FF"/>
      </w:rPr>
    </w:lvl>
  </w:abstractNum>
  <w:abstractNum w:abstractNumId="3">
    <w:nsid w:val="9288B902"/>
    <w:multiLevelType w:val="singleLevel"/>
    <w:tmpl w:val="9288B902"/>
    <w:lvl w:ilvl="0" w:tentative="0">
      <w:start w:val="0"/>
      <w:numFmt w:val="bullet"/>
      <w:lvlText w:val="•"/>
      <w:lvlJc w:val="left"/>
      <w:rPr>
        <w:color w:val="3370FF"/>
      </w:rPr>
    </w:lvl>
  </w:abstractNum>
  <w:abstractNum w:abstractNumId="4">
    <w:nsid w:val="9C8AC8EF"/>
    <w:multiLevelType w:val="singleLevel"/>
    <w:tmpl w:val="9C8AC8EF"/>
    <w:lvl w:ilvl="0" w:tentative="0">
      <w:start w:val="0"/>
      <w:numFmt w:val="bullet"/>
      <w:lvlText w:val="•"/>
      <w:lvlJc w:val="left"/>
      <w:rPr>
        <w:color w:val="3370FF"/>
      </w:rPr>
    </w:lvl>
  </w:abstractNum>
  <w:abstractNum w:abstractNumId="5">
    <w:nsid w:val="B0F1ACD9"/>
    <w:multiLevelType w:val="singleLevel"/>
    <w:tmpl w:val="B0F1ACD9"/>
    <w:lvl w:ilvl="0" w:tentative="0">
      <w:start w:val="0"/>
      <w:numFmt w:val="bullet"/>
      <w:lvlText w:val="•"/>
      <w:lvlJc w:val="left"/>
      <w:rPr>
        <w:color w:val="3370FF"/>
      </w:rPr>
    </w:lvl>
  </w:abstractNum>
  <w:abstractNum w:abstractNumId="6">
    <w:nsid w:val="BE923771"/>
    <w:multiLevelType w:val="singleLevel"/>
    <w:tmpl w:val="BE923771"/>
    <w:lvl w:ilvl="0" w:tentative="0">
      <w:start w:val="0"/>
      <w:numFmt w:val="bullet"/>
      <w:lvlText w:val="•"/>
      <w:lvlJc w:val="left"/>
      <w:rPr>
        <w:color w:val="3370FF"/>
      </w:rPr>
    </w:lvl>
  </w:abstractNum>
  <w:abstractNum w:abstractNumId="7">
    <w:nsid w:val="C8879AEF"/>
    <w:multiLevelType w:val="singleLevel"/>
    <w:tmpl w:val="C8879AEF"/>
    <w:lvl w:ilvl="0" w:tentative="0">
      <w:start w:val="0"/>
      <w:numFmt w:val="bullet"/>
      <w:lvlText w:val="•"/>
      <w:lvlJc w:val="left"/>
      <w:rPr>
        <w:color w:val="3370FF"/>
      </w:rPr>
    </w:lvl>
  </w:abstractNum>
  <w:abstractNum w:abstractNumId="8">
    <w:nsid w:val="CF092B84"/>
    <w:multiLevelType w:val="singleLevel"/>
    <w:tmpl w:val="CF092B84"/>
    <w:lvl w:ilvl="0" w:tentative="0">
      <w:start w:val="0"/>
      <w:numFmt w:val="bullet"/>
      <w:lvlText w:val="•"/>
      <w:lvlJc w:val="left"/>
      <w:rPr>
        <w:color w:val="3370FF"/>
      </w:rPr>
    </w:lvl>
  </w:abstractNum>
  <w:abstractNum w:abstractNumId="9">
    <w:nsid w:val="D7F9FE59"/>
    <w:multiLevelType w:val="singleLevel"/>
    <w:tmpl w:val="D7F9FE59"/>
    <w:lvl w:ilvl="0" w:tentative="0">
      <w:start w:val="0"/>
      <w:numFmt w:val="bullet"/>
      <w:lvlText w:val="•"/>
      <w:lvlJc w:val="left"/>
      <w:rPr>
        <w:color w:val="3370FF"/>
      </w:rPr>
    </w:lvl>
  </w:abstractNum>
  <w:abstractNum w:abstractNumId="10">
    <w:nsid w:val="DCBA6B53"/>
    <w:multiLevelType w:val="singleLevel"/>
    <w:tmpl w:val="DCBA6B53"/>
    <w:lvl w:ilvl="0" w:tentative="0">
      <w:start w:val="0"/>
      <w:numFmt w:val="bullet"/>
      <w:lvlText w:val="•"/>
      <w:lvlJc w:val="left"/>
      <w:rPr>
        <w:color w:val="3370FF"/>
      </w:rPr>
    </w:lvl>
  </w:abstractNum>
  <w:abstractNum w:abstractNumId="11">
    <w:nsid w:val="E093A4B0"/>
    <w:multiLevelType w:val="singleLevel"/>
    <w:tmpl w:val="E093A4B0"/>
    <w:lvl w:ilvl="0" w:tentative="0">
      <w:start w:val="13"/>
      <w:numFmt w:val="decimal"/>
      <w:lvlText w:val="%1."/>
      <w:lvlJc w:val="left"/>
      <w:rPr>
        <w:color w:val="3370FF"/>
      </w:rPr>
    </w:lvl>
  </w:abstractNum>
  <w:abstractNum w:abstractNumId="12">
    <w:nsid w:val="F4B5D9F5"/>
    <w:multiLevelType w:val="singleLevel"/>
    <w:tmpl w:val="F4B5D9F5"/>
    <w:lvl w:ilvl="0" w:tentative="0">
      <w:start w:val="0"/>
      <w:numFmt w:val="bullet"/>
      <w:lvlText w:val="•"/>
      <w:lvlJc w:val="left"/>
      <w:rPr>
        <w:color w:val="3370FF"/>
      </w:rPr>
    </w:lvl>
  </w:abstractNum>
  <w:abstractNum w:abstractNumId="13">
    <w:nsid w:val="F7735DC9"/>
    <w:multiLevelType w:val="singleLevel"/>
    <w:tmpl w:val="F7735DC9"/>
    <w:lvl w:ilvl="0" w:tentative="0">
      <w:start w:val="12"/>
      <w:numFmt w:val="decimal"/>
      <w:lvlText w:val="%1."/>
      <w:lvlJc w:val="left"/>
      <w:rPr>
        <w:color w:val="3370FF"/>
      </w:rPr>
    </w:lvl>
  </w:abstractNum>
  <w:abstractNum w:abstractNumId="14">
    <w:nsid w:val="0053208E"/>
    <w:multiLevelType w:val="singleLevel"/>
    <w:tmpl w:val="0053208E"/>
    <w:lvl w:ilvl="0" w:tentative="0">
      <w:start w:val="0"/>
      <w:numFmt w:val="bullet"/>
      <w:lvlText w:val="•"/>
      <w:lvlJc w:val="left"/>
      <w:rPr>
        <w:color w:val="3370FF"/>
      </w:rPr>
    </w:lvl>
  </w:abstractNum>
  <w:abstractNum w:abstractNumId="15">
    <w:nsid w:val="0248C179"/>
    <w:multiLevelType w:val="singleLevel"/>
    <w:tmpl w:val="0248C179"/>
    <w:lvl w:ilvl="0" w:tentative="0">
      <w:start w:val="0"/>
      <w:numFmt w:val="bullet"/>
      <w:lvlText w:val="•"/>
      <w:lvlJc w:val="left"/>
      <w:rPr>
        <w:color w:val="3370FF"/>
      </w:rPr>
    </w:lvl>
  </w:abstractNum>
  <w:abstractNum w:abstractNumId="16">
    <w:nsid w:val="0E640482"/>
    <w:multiLevelType w:val="singleLevel"/>
    <w:tmpl w:val="0E640482"/>
    <w:lvl w:ilvl="0" w:tentative="0">
      <w:start w:val="0"/>
      <w:numFmt w:val="bullet"/>
      <w:lvlText w:val="•"/>
      <w:lvlJc w:val="left"/>
      <w:rPr>
        <w:color w:val="3370FF"/>
      </w:rPr>
    </w:lvl>
  </w:abstractNum>
  <w:abstractNum w:abstractNumId="17">
    <w:nsid w:val="243FCF68"/>
    <w:multiLevelType w:val="singleLevel"/>
    <w:tmpl w:val="243FCF68"/>
    <w:lvl w:ilvl="0" w:tentative="0">
      <w:start w:val="10"/>
      <w:numFmt w:val="decimal"/>
      <w:lvlText w:val="%1."/>
      <w:lvlJc w:val="left"/>
      <w:rPr>
        <w:color w:val="3370FF"/>
      </w:rPr>
    </w:lvl>
  </w:abstractNum>
  <w:abstractNum w:abstractNumId="18">
    <w:nsid w:val="2470EC97"/>
    <w:multiLevelType w:val="singleLevel"/>
    <w:tmpl w:val="2470EC97"/>
    <w:lvl w:ilvl="0" w:tentative="0">
      <w:start w:val="0"/>
      <w:numFmt w:val="bullet"/>
      <w:lvlText w:val="•"/>
      <w:lvlJc w:val="left"/>
      <w:rPr>
        <w:color w:val="3370FF"/>
      </w:rPr>
    </w:lvl>
  </w:abstractNum>
  <w:abstractNum w:abstractNumId="19">
    <w:nsid w:val="2A8F537B"/>
    <w:multiLevelType w:val="singleLevel"/>
    <w:tmpl w:val="2A8F537B"/>
    <w:lvl w:ilvl="0" w:tentative="0">
      <w:start w:val="0"/>
      <w:numFmt w:val="bullet"/>
      <w:lvlText w:val="•"/>
      <w:lvlJc w:val="left"/>
      <w:rPr>
        <w:color w:val="3370FF"/>
      </w:rPr>
    </w:lvl>
  </w:abstractNum>
  <w:abstractNum w:abstractNumId="20">
    <w:nsid w:val="30FC5B15"/>
    <w:multiLevelType w:val="singleLevel"/>
    <w:tmpl w:val="30FC5B15"/>
    <w:lvl w:ilvl="0" w:tentative="0">
      <w:start w:val="14"/>
      <w:numFmt w:val="decimal"/>
      <w:lvlText w:val="%1."/>
      <w:lvlJc w:val="left"/>
      <w:rPr>
        <w:color w:val="3370FF"/>
      </w:rPr>
    </w:lvl>
  </w:abstractNum>
  <w:abstractNum w:abstractNumId="21">
    <w:nsid w:val="39A0D9AC"/>
    <w:multiLevelType w:val="singleLevel"/>
    <w:tmpl w:val="39A0D9AC"/>
    <w:lvl w:ilvl="0" w:tentative="0">
      <w:start w:val="5"/>
      <w:numFmt w:val="decimal"/>
      <w:lvlText w:val="%1."/>
      <w:lvlJc w:val="left"/>
      <w:rPr>
        <w:color w:val="3370FF"/>
      </w:rPr>
    </w:lvl>
  </w:abstractNum>
  <w:abstractNum w:abstractNumId="22">
    <w:nsid w:val="46A08BB8"/>
    <w:multiLevelType w:val="singleLevel"/>
    <w:tmpl w:val="46A08BB8"/>
    <w:lvl w:ilvl="0" w:tentative="0">
      <w:start w:val="0"/>
      <w:numFmt w:val="bullet"/>
      <w:lvlText w:val="•"/>
      <w:lvlJc w:val="left"/>
      <w:rPr>
        <w:color w:val="3370FF"/>
      </w:rPr>
    </w:lvl>
  </w:abstractNum>
  <w:abstractNum w:abstractNumId="23">
    <w:nsid w:val="4C1BAE26"/>
    <w:multiLevelType w:val="singleLevel"/>
    <w:tmpl w:val="4C1BAE26"/>
    <w:lvl w:ilvl="0" w:tentative="0">
      <w:start w:val="0"/>
      <w:numFmt w:val="bullet"/>
      <w:lvlText w:val="•"/>
      <w:lvlJc w:val="left"/>
      <w:rPr>
        <w:color w:val="3370FF"/>
      </w:rPr>
    </w:lvl>
  </w:abstractNum>
  <w:abstractNum w:abstractNumId="24">
    <w:nsid w:val="4D4DC07F"/>
    <w:multiLevelType w:val="singleLevel"/>
    <w:tmpl w:val="4D4DC07F"/>
    <w:lvl w:ilvl="0" w:tentative="0">
      <w:start w:val="0"/>
      <w:numFmt w:val="bullet"/>
      <w:lvlText w:val="•"/>
      <w:lvlJc w:val="left"/>
      <w:rPr>
        <w:color w:val="3370FF"/>
      </w:rPr>
    </w:lvl>
  </w:abstractNum>
  <w:abstractNum w:abstractNumId="25">
    <w:nsid w:val="4D94DA66"/>
    <w:multiLevelType w:val="singleLevel"/>
    <w:tmpl w:val="4D94DA66"/>
    <w:lvl w:ilvl="0" w:tentative="0">
      <w:start w:val="11"/>
      <w:numFmt w:val="decimal"/>
      <w:lvlText w:val="%1."/>
      <w:lvlJc w:val="left"/>
      <w:rPr>
        <w:color w:val="3370FF"/>
      </w:rPr>
    </w:lvl>
  </w:abstractNum>
  <w:abstractNum w:abstractNumId="26">
    <w:nsid w:val="58765686"/>
    <w:multiLevelType w:val="singleLevel"/>
    <w:tmpl w:val="58765686"/>
    <w:lvl w:ilvl="0" w:tentative="0">
      <w:start w:val="7"/>
      <w:numFmt w:val="decimal"/>
      <w:lvlText w:val="%1."/>
      <w:lvlJc w:val="left"/>
      <w:rPr>
        <w:color w:val="3370FF"/>
      </w:rPr>
    </w:lvl>
  </w:abstractNum>
  <w:abstractNum w:abstractNumId="27">
    <w:nsid w:val="59ADCABA"/>
    <w:multiLevelType w:val="singleLevel"/>
    <w:tmpl w:val="59ADCABA"/>
    <w:lvl w:ilvl="0" w:tentative="0">
      <w:start w:val="0"/>
      <w:numFmt w:val="bullet"/>
      <w:lvlText w:val="•"/>
      <w:lvlJc w:val="left"/>
      <w:rPr>
        <w:color w:val="3370FF"/>
      </w:rPr>
    </w:lvl>
  </w:abstractNum>
  <w:abstractNum w:abstractNumId="28">
    <w:nsid w:val="5A241D34"/>
    <w:multiLevelType w:val="singleLevel"/>
    <w:tmpl w:val="5A241D34"/>
    <w:lvl w:ilvl="0" w:tentative="0">
      <w:start w:val="0"/>
      <w:numFmt w:val="bullet"/>
      <w:lvlText w:val="•"/>
      <w:lvlJc w:val="left"/>
      <w:rPr>
        <w:color w:val="3370FF"/>
      </w:rPr>
    </w:lvl>
  </w:abstractNum>
  <w:abstractNum w:abstractNumId="29">
    <w:nsid w:val="60382F6E"/>
    <w:multiLevelType w:val="singleLevel"/>
    <w:tmpl w:val="60382F6E"/>
    <w:lvl w:ilvl="0" w:tentative="0">
      <w:start w:val="0"/>
      <w:numFmt w:val="bullet"/>
      <w:lvlText w:val="•"/>
      <w:lvlJc w:val="left"/>
      <w:rPr>
        <w:color w:val="3370FF"/>
      </w:rPr>
    </w:lvl>
  </w:abstractNum>
  <w:abstractNum w:abstractNumId="30">
    <w:nsid w:val="629F7852"/>
    <w:multiLevelType w:val="singleLevel"/>
    <w:tmpl w:val="629F7852"/>
    <w:lvl w:ilvl="0" w:tentative="0">
      <w:start w:val="0"/>
      <w:numFmt w:val="bullet"/>
      <w:lvlText w:val="•"/>
      <w:lvlJc w:val="left"/>
      <w:rPr>
        <w:color w:val="3370FF"/>
      </w:rPr>
    </w:lvl>
  </w:abstractNum>
  <w:abstractNum w:abstractNumId="31">
    <w:nsid w:val="72183CF9"/>
    <w:multiLevelType w:val="singleLevel"/>
    <w:tmpl w:val="72183CF9"/>
    <w:lvl w:ilvl="0" w:tentative="0">
      <w:start w:val="0"/>
      <w:numFmt w:val="bullet"/>
      <w:lvlText w:val="•"/>
      <w:lvlJc w:val="left"/>
      <w:rPr>
        <w:color w:val="3370FF"/>
      </w:rPr>
    </w:lvl>
  </w:abstractNum>
  <w:abstractNum w:abstractNumId="32">
    <w:nsid w:val="77ECEA79"/>
    <w:multiLevelType w:val="singleLevel"/>
    <w:tmpl w:val="77ECEA79"/>
    <w:lvl w:ilvl="0" w:tentative="0">
      <w:start w:val="0"/>
      <w:numFmt w:val="bullet"/>
      <w:lvlText w:val="•"/>
      <w:lvlJc w:val="left"/>
      <w:rPr>
        <w:color w:val="3370FF"/>
      </w:rPr>
    </w:lvl>
  </w:abstractNum>
  <w:abstractNum w:abstractNumId="33">
    <w:nsid w:val="7C246926"/>
    <w:multiLevelType w:val="singleLevel"/>
    <w:tmpl w:val="7C246926"/>
    <w:lvl w:ilvl="0" w:tentative="0">
      <w:start w:val="0"/>
      <w:numFmt w:val="bullet"/>
      <w:lvlText w:val="•"/>
      <w:lvlJc w:val="left"/>
      <w:rPr>
        <w:color w:val="3370FF"/>
      </w:rPr>
    </w:lvl>
  </w:abstractNum>
  <w:abstractNum w:abstractNumId="34">
    <w:nsid w:val="7DEC2089"/>
    <w:multiLevelType w:val="singleLevel"/>
    <w:tmpl w:val="7DEC2089"/>
    <w:lvl w:ilvl="0" w:tentative="0">
      <w:start w:val="8"/>
      <w:numFmt w:val="decimal"/>
      <w:lvlText w:val="%1."/>
      <w:lvlJc w:val="left"/>
      <w:rPr>
        <w:color w:val="3370FF"/>
      </w:rPr>
    </w:lvl>
  </w:abstractNum>
  <w:num w:numId="1">
    <w:abstractNumId w:val="14"/>
  </w:num>
  <w:num w:numId="2">
    <w:abstractNumId w:val="8"/>
  </w:num>
  <w:num w:numId="3">
    <w:abstractNumId w:val="27"/>
  </w:num>
  <w:num w:numId="4">
    <w:abstractNumId w:val="31"/>
  </w:num>
  <w:num w:numId="5">
    <w:abstractNumId w:val="15"/>
  </w:num>
  <w:num w:numId="6">
    <w:abstractNumId w:val="2"/>
  </w:num>
  <w:num w:numId="7">
    <w:abstractNumId w:val="19"/>
  </w:num>
  <w:num w:numId="8">
    <w:abstractNumId w:val="28"/>
  </w:num>
  <w:num w:numId="9">
    <w:abstractNumId w:val="7"/>
  </w:num>
  <w:num w:numId="10">
    <w:abstractNumId w:val="24"/>
  </w:num>
  <w:num w:numId="11">
    <w:abstractNumId w:val="12"/>
  </w:num>
  <w:num w:numId="12">
    <w:abstractNumId w:val="18"/>
  </w:num>
  <w:num w:numId="13">
    <w:abstractNumId w:val="10"/>
  </w:num>
  <w:num w:numId="14">
    <w:abstractNumId w:val="9"/>
  </w:num>
  <w:num w:numId="15">
    <w:abstractNumId w:val="4"/>
  </w:num>
  <w:num w:numId="16">
    <w:abstractNumId w:val="23"/>
  </w:num>
  <w:num w:numId="17">
    <w:abstractNumId w:val="29"/>
  </w:num>
  <w:num w:numId="18">
    <w:abstractNumId w:val="16"/>
  </w:num>
  <w:num w:numId="19">
    <w:abstractNumId w:val="22"/>
  </w:num>
  <w:num w:numId="20">
    <w:abstractNumId w:val="5"/>
  </w:num>
  <w:num w:numId="21">
    <w:abstractNumId w:val="33"/>
  </w:num>
  <w:num w:numId="22">
    <w:abstractNumId w:val="32"/>
  </w:num>
  <w:num w:numId="23">
    <w:abstractNumId w:val="6"/>
  </w:num>
  <w:num w:numId="24">
    <w:abstractNumId w:val="30"/>
  </w:num>
  <w:num w:numId="25">
    <w:abstractNumId w:val="3"/>
  </w:num>
  <w:num w:numId="26">
    <w:abstractNumId w:val="21"/>
  </w:num>
  <w:num w:numId="27">
    <w:abstractNumId w:val="1"/>
  </w:num>
  <w:num w:numId="28">
    <w:abstractNumId w:val="26"/>
  </w:num>
  <w:num w:numId="29">
    <w:abstractNumId w:val="34"/>
  </w:num>
  <w:num w:numId="30">
    <w:abstractNumId w:val="0"/>
  </w:num>
  <w:num w:numId="31">
    <w:abstractNumId w:val="17"/>
  </w:num>
  <w:num w:numId="32">
    <w:abstractNumId w:val="25"/>
  </w:num>
  <w:num w:numId="33">
    <w:abstractNumId w:val="13"/>
  </w:num>
  <w:num w:numId="34">
    <w:abstractNumId w:val="11"/>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2B2660"/>
    <w:rsid w:val="137263AD"/>
    <w:rsid w:val="19275841"/>
    <w:rsid w:val="1C875149"/>
    <w:rsid w:val="248944D2"/>
    <w:rsid w:val="2B954437"/>
    <w:rsid w:val="31102C0A"/>
    <w:rsid w:val="34AF0388"/>
    <w:rsid w:val="3C280F82"/>
    <w:rsid w:val="3DE8166B"/>
    <w:rsid w:val="401528A8"/>
    <w:rsid w:val="42720435"/>
    <w:rsid w:val="4FFB6492"/>
    <w:rsid w:val="53AC0A44"/>
    <w:rsid w:val="548E40A4"/>
    <w:rsid w:val="57D8272F"/>
    <w:rsid w:val="587376BA"/>
    <w:rsid w:val="606F68AA"/>
    <w:rsid w:val="633E4081"/>
    <w:rsid w:val="6AAF5237"/>
    <w:rsid w:val="722E7212"/>
    <w:rsid w:val="750F5863"/>
    <w:rsid w:val="76DD5312"/>
    <w:rsid w:val="782257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360" w:lineRule="auto"/>
      <w:ind w:left="0" w:right="0"/>
      <w:jc w:val="left"/>
    </w:pPr>
    <w:rPr>
      <w:rFonts w:ascii="宋体" w:hAnsi="宋体" w:eastAsia="宋体" w:cs="宋体"/>
      <w:sz w:val="24"/>
      <w:szCs w:val="22"/>
      <w:lang w:val="zh-CN" w:eastAsia="zh-CN" w:bidi="zh-CN"/>
    </w:rPr>
  </w:style>
  <w:style w:type="paragraph" w:styleId="2">
    <w:name w:val="heading 1"/>
    <w:basedOn w:val="1"/>
    <w:next w:val="1"/>
    <w:qFormat/>
    <w:uiPriority w:val="1"/>
    <w:pPr>
      <w:ind w:left="1428" w:right="1810" w:hanging="646"/>
      <w:outlineLvl w:val="0"/>
    </w:pPr>
    <w:rPr>
      <w:rFonts w:ascii="黑体" w:hAnsi="黑体" w:eastAsia="宋体" w:cs="黑体"/>
      <w:b/>
      <w:bCs/>
      <w:sz w:val="30"/>
      <w:szCs w:val="52"/>
    </w:rPr>
  </w:style>
  <w:style w:type="paragraph" w:styleId="3">
    <w:name w:val="heading 2"/>
    <w:basedOn w:val="1"/>
    <w:next w:val="1"/>
    <w:qFormat/>
    <w:uiPriority w:val="1"/>
    <w:pPr>
      <w:ind w:left="1471" w:hanging="680"/>
      <w:outlineLvl w:val="1"/>
    </w:pPr>
    <w:rPr>
      <w:b/>
      <w:bCs/>
      <w:sz w:val="28"/>
      <w:szCs w:val="32"/>
    </w:rPr>
  </w:style>
  <w:style w:type="paragraph" w:styleId="4">
    <w:name w:val="heading 3"/>
    <w:basedOn w:val="1"/>
    <w:next w:val="1"/>
    <w:qFormat/>
    <w:uiPriority w:val="1"/>
    <w:pPr>
      <w:ind w:left="109" w:right="131"/>
      <w:outlineLvl w:val="2"/>
    </w:pPr>
    <w:rPr>
      <w:i/>
      <w:sz w:val="24"/>
      <w:szCs w:val="25"/>
    </w:rPr>
  </w:style>
  <w:style w:type="paragraph" w:styleId="5">
    <w:name w:val="heading 4"/>
    <w:basedOn w:val="1"/>
    <w:next w:val="1"/>
    <w:qFormat/>
    <w:uiPriority w:val="1"/>
    <w:pPr>
      <w:ind w:left="120"/>
      <w:outlineLvl w:val="4"/>
    </w:pPr>
    <w:rPr>
      <w:rFonts w:ascii="宋体" w:hAnsi="宋体" w:eastAsia="宋体" w:cs="宋体"/>
      <w:b/>
      <w:bCs/>
      <w:sz w:val="24"/>
      <w:szCs w:val="24"/>
      <w:lang w:val="zh-CN" w:eastAsia="zh-CN" w:bidi="zh-CN"/>
    </w:rPr>
  </w:style>
  <w:style w:type="character" w:default="1" w:styleId="8">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宋体" w:hAnsi="宋体" w:eastAsia="宋体" w:cs="宋体"/>
      <w:sz w:val="24"/>
      <w:szCs w:val="24"/>
      <w:lang w:val="zh-CN" w:eastAsia="zh-CN" w:bidi="zh-CN"/>
    </w:rPr>
  </w:style>
  <w:style w:type="character" w:styleId="9">
    <w:name w:val="Strong"/>
    <w:basedOn w:val="8"/>
    <w:qFormat/>
    <w:uiPriority w:val="0"/>
    <w:rPr>
      <w:b/>
    </w:rPr>
  </w:style>
  <w:style w:type="character" w:styleId="10">
    <w:name w:val="Emphasis"/>
    <w:basedOn w:val="8"/>
    <w:qFormat/>
    <w:uiPriority w:val="0"/>
    <w:rPr>
      <w:i/>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rPr>
      <w:lang w:val="zh-CN" w:eastAsia="zh-CN" w:bidi="zh-CN"/>
    </w:rPr>
  </w:style>
  <w:style w:type="paragraph" w:customStyle="1" w:styleId="13">
    <w:name w:val="Table Paragraph"/>
    <w:basedOn w:val="1"/>
    <w:qFormat/>
    <w:uiPriority w:val="1"/>
    <w:rPr>
      <w:lang w:val="zh-CN" w:eastAsia="zh-CN" w:bidi="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6965</Words>
  <Characters>7516</Characters>
  <TotalTime>45</TotalTime>
  <ScaleCrop>false</ScaleCrop>
  <LinksUpToDate>false</LinksUpToDate>
  <CharactersWithSpaces>7570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2020-05-15T08:12:00Z</dcterms:created>
  <dc:creator>hua9821</dc:creator>
  <cp:lastModifiedBy>LHTBS</cp:lastModifiedBy>
  <dcterms:modified xsi:type="dcterms:W3CDTF">2025-12-14T08:24:34Z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2020-04-24T00:00:00Z</vt:filetime>
  </property>
  <property fmtid="{D5CDD505-2E9C-101B-9397-08002B2CF9AE}" pid="3" name="Creator">
    <vt:lpwstr>WPS 文字</vt:lpwstr>
  </property>
  <property fmtid="{D5CDD505-2E9C-101B-9397-08002B2CF9AE}" pid="4" name="LastSaved">
    <vt:filetime>2020-05-15T00:00:00Z</vt:filetime>
  </property>
  <property fmtid="{D5CDD505-2E9C-101B-9397-08002B2CF9AE}" pid="5" name="KSOProductBuildVer">
    <vt:lpwstr>2052-12.1.0.24034</vt:lpwstr>
  </property>
  <property fmtid="{D5CDD505-2E9C-101B-9397-08002B2CF9AE}" pid="6" name="ICV">
    <vt:lpwstr>59D17CFF26AF4603B8E08169332FCDF1_13</vt:lpwstr>
  </property>
  <property fmtid="{D5CDD505-2E9C-101B-9397-08002B2CF9AE}" pid="7" name="KSOTemplateDocerSaveRecord">
    <vt:lpwstr>eyJoZGlkIjoiZTBiZTY4MTNkNWVkMjYwNzYwMjYwNzUyMzIxOTk4NTAiLCJ1c2VySWQiOiIxMzAzMjU5MzQwIn0=</vt:lpwstr>
  </property>
</Properties>
</file>