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掩膜错位对分割指标的影响</w:t>
      </w:r>
    </w:p>
    <w:p>
      <w:r>
        <w:t>KYDW 图像分割报告示例</w:t>
      </w:r>
    </w:p>
    <w:p>
      <w:r>
        <w:t>本报告使用 Oxford-IIIT Pet 的四幅官方标注，比较参考掩膜向右平移 5 像素与 15 像素后的重叠程度。平移掩膜是人为构造的教学结果，未训练分割网络。</w:t>
      </w:r>
    </w:p>
    <w:p>
      <w:pPr>
        <w:pStyle w:val="Heading1"/>
      </w:pPr>
      <w:r>
        <w:t>1 任务与数据</w:t>
      </w:r>
    </w:p>
    <w:p>
      <w:r>
        <w:t>分割评价同时受到区域大小和空间位置的影响。本实验只改变横向错位距离，观察 Dice 和 IoU 如何变化。数据包含两张猫图像和两张狗图像，样本编号为 Abyssinian_1、Abyssinian_2、american_bulldog_2 和 american_bulldog_3。</w:t>
      </w:r>
    </w:p>
    <w:p>
      <w:r>
        <w:t>图像与标注保持原始尺寸，未缩放。官方 trimap 中 1 表示前景，2 表示背景，3 表示未分类区域。计算指标时忽略原始标注为 3 的像素。本实验没有训练、验证和测试划分，因为它只检查给定掩膜的确定性变换。</w:t>
      </w:r>
    </w:p>
    <w:p>
      <w:pPr>
        <w:pStyle w:val="Heading1"/>
      </w:pPr>
      <w:r>
        <w:t>2 比较方法</w:t>
      </w:r>
    </w:p>
    <w:p>
      <w:r>
        <w:t>方案 A 将前景掩膜向右平移 5 像素，方案 B 平移 15 像素。移出右边界的部分舍弃，左侧空缺填为背景。两方案使用相同图像、前景定义和忽略区，唯一改变项为位移距离。</w:t>
      </w:r>
    </w:p>
    <w:p>
      <w:r>
        <w:t>令 G 为有效像素内的真实前景，P 为平移后的前景。Dice = 2|G∩P|/(|G|+|P|)，IoU = |G∩P|/|G∪P|。先在每幅图上计算，再对四幅图取算术平均；不先合并所有图像的像素。</w:t>
      </w:r>
    </w:p>
    <w:p>
      <w:pPr>
        <w:pStyle w:val="Heading1"/>
      </w:pPr>
      <w:r>
        <w:t>3 结果</w:t>
      </w:r>
    </w:p>
    <w:p>
      <w:r>
        <w:t xml:space="preserve">表 </w:t>
      </w:r>
      <w:fldSimple w:instr="REF tab_results \h">
        <w:r>
          <w:t>1</w:t>
        </w:r>
      </w:fldSimple>
      <w:r>
        <w:t xml:space="preserve"> 显示方案 A 的平均 Dice 为 0.963，方案 B 为 0.895。两方案的差值为 0.069，这组图像中较大的错位对应较低的重叠。</w:t>
      </w:r>
    </w:p>
    <w:p>
      <w:pPr>
        <w:pStyle w:val="Caption"/>
        <w:keepNext/>
      </w:pPr>
      <w:r>
        <w:t xml:space="preserve">表 </w:t>
      </w:r>
      <w:bookmarkStart w:id="1" w:name="tab_results"/>
      <w:fldSimple w:instr="SEQ 表 \* ARABIC">
        <w:r>
          <w:t>1</w:t>
        </w:r>
      </w:fldSimple>
      <w:bookmarkEnd w:id="1"/>
      <w:r>
        <w:t xml:space="preserve"> 四幅图像的逐图平均指标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268"/>
            <w:shd w:fill="EAF1E8"/>
          </w:tcPr>
          <w:p>
            <w:pPr>
              <w:keepNext/>
              <w:spacing w:after="80"/>
            </w:pPr>
            <w:r>
              <w:rPr>
                <w:sz w:val="20"/>
              </w:rPr>
              <w:t>方案</w:t>
            </w:r>
          </w:p>
        </w:tc>
        <w:tc>
          <w:tcPr>
            <w:tcW w:type="dxa" w:w="2268"/>
            <w:shd w:fill="EAF1E8"/>
          </w:tcPr>
          <w:p>
            <w:pPr>
              <w:keepNext/>
              <w:spacing w:after="80"/>
            </w:pPr>
            <w:r>
              <w:rPr>
                <w:sz w:val="20"/>
              </w:rPr>
              <w:t>图像数</w:t>
            </w:r>
          </w:p>
        </w:tc>
        <w:tc>
          <w:tcPr>
            <w:tcW w:type="dxa" w:w="2268"/>
            <w:shd w:fill="EAF1E8"/>
          </w:tcPr>
          <w:p>
            <w:pPr>
              <w:keepNext/>
              <w:spacing w:after="80"/>
            </w:pPr>
            <w:r>
              <w:rPr>
                <w:sz w:val="20"/>
              </w:rPr>
              <w:t>Dice</w:t>
            </w:r>
          </w:p>
        </w:tc>
        <w:tc>
          <w:tcPr>
            <w:tcW w:type="dxa" w:w="2268"/>
            <w:shd w:fill="EAF1E8"/>
          </w:tcPr>
          <w:p>
            <w:pPr>
              <w:keepNext/>
              <w:spacing w:after="80"/>
            </w:pPr>
            <w:r>
              <w:rPr>
                <w:sz w:val="20"/>
              </w:rPr>
              <w:t>IoU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  <w:spacing w:after="80"/>
            </w:pPr>
            <w:r>
              <w:rPr>
                <w:sz w:val="20"/>
              </w:rPr>
              <w:t>A（右移 5 px）</w:t>
            </w:r>
          </w:p>
        </w:tc>
        <w:tc>
          <w:tcPr>
            <w:tcW w:type="dxa" w:w="2268"/>
          </w:tcPr>
          <w:p>
            <w:pPr>
              <w:keepNext/>
              <w:spacing w:after="80"/>
            </w:pPr>
            <w:r>
              <w:rPr>
                <w:sz w:val="20"/>
              </w:rPr>
              <w:t>4</w:t>
            </w:r>
          </w:p>
        </w:tc>
        <w:tc>
          <w:tcPr>
            <w:tcW w:type="dxa" w:w="2268"/>
          </w:tcPr>
          <w:p>
            <w:pPr>
              <w:keepNext/>
              <w:spacing w:after="80"/>
            </w:pPr>
            <w:r>
              <w:rPr>
                <w:sz w:val="20"/>
              </w:rPr>
              <w:t>0.963</w:t>
            </w:r>
          </w:p>
        </w:tc>
        <w:tc>
          <w:tcPr>
            <w:tcW w:type="dxa" w:w="2268"/>
          </w:tcPr>
          <w:p>
            <w:pPr>
              <w:keepNext/>
              <w:spacing w:after="80"/>
            </w:pPr>
            <w:r>
              <w:rPr>
                <w:sz w:val="20"/>
              </w:rPr>
              <w:t>0.930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spacing w:after="80"/>
            </w:pPr>
            <w:r>
              <w:rPr>
                <w:sz w:val="20"/>
              </w:rPr>
              <w:t>B（右移 15 px）</w:t>
            </w:r>
          </w:p>
        </w:tc>
        <w:tc>
          <w:tcPr>
            <w:tcW w:type="dxa" w:w="2268"/>
          </w:tcPr>
          <w:p>
            <w:pPr>
              <w:keepNext w:val="0"/>
              <w:spacing w:after="80"/>
            </w:pPr>
            <w:r>
              <w:rPr>
                <w:sz w:val="20"/>
              </w:rPr>
              <w:t>4</w:t>
            </w:r>
          </w:p>
        </w:tc>
        <w:tc>
          <w:tcPr>
            <w:tcW w:type="dxa" w:w="2268"/>
          </w:tcPr>
          <w:p>
            <w:pPr>
              <w:keepNext w:val="0"/>
              <w:spacing w:after="80"/>
            </w:pPr>
            <w:r>
              <w:rPr>
                <w:sz w:val="20"/>
              </w:rPr>
              <w:t>0.895</w:t>
            </w:r>
          </w:p>
        </w:tc>
        <w:tc>
          <w:tcPr>
            <w:tcW w:type="dxa" w:w="2268"/>
          </w:tcPr>
          <w:p>
            <w:pPr>
              <w:keepNext w:val="0"/>
              <w:spacing w:after="80"/>
            </w:pPr>
            <w:r>
              <w:rPr>
                <w:sz w:val="20"/>
              </w:rPr>
              <w:t>0.812</w:t>
            </w:r>
          </w:p>
        </w:tc>
      </w:tr>
    </w:tbl>
    <w:p>
      <w:r>
        <w:t xml:space="preserve">图 </w:t>
      </w:r>
      <w:fldSimple w:instr="REF fig_masks \h">
        <w:r>
          <w:t>1</w:t>
        </w:r>
      </w:fldSimple>
      <w:r>
        <w:t xml:space="preserve"> 展示同一张图像上的参考与平移掩膜。耳部、腿部和较细轮廓处更容易看出位置差异，背景方向与原图保持一致。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k-shift-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图 </w:t>
      </w:r>
      <w:bookmarkStart w:id="2" w:name="fig_masks"/>
      <w:fldSimple w:instr="SEQ 图 \* ARABIC">
        <w:r>
          <w:t>1</w:t>
        </w:r>
      </w:fldSimple>
      <w:bookmarkEnd w:id="2"/>
      <w:r>
        <w:t xml:space="preserve"> 相同样本的原图、参考掩膜与两种平移结果。绿为前景，白为背景，灰为忽略区。掩膜为教学构造，来源为 Oxford-IIIT Pet 官方标注。</w:t>
      </w:r>
    </w:p>
    <w:p>
      <w:pPr>
        <w:pStyle w:val="Heading1"/>
      </w:pPr>
      <w:r>
        <w:t>4 讨论</w:t>
      </w:r>
    </w:p>
    <w:p>
      <w:r>
        <w:t>在本次四图比较中，位移从 5 像素增至 15 像素后，Dice 与 IoU 均下降。这个结果说明，分割区域即使保留大体形状，位置错开也会降低评价值。下一步可在相同图像上比较不同方向或相对图像宽度相同的位移。</w:t>
      </w:r>
    </w:p>
    <w:p>
      <w:r>
        <w:t>这里的掩膜由标注直接平移得到，只用于说明评价与排版。模型泛化能力需要用独立测试图像上的真实预测评价；这组数字不用于比较网络性能。</w:t>
      </w:r>
    </w:p>
    <w:p>
      <w:r>
        <w:t>数据：Parkhi OM, Vedaldi A, Zisserman A, Jawahar CV. Cats and Dogs. CVPR, 2012. https://www.robots.ox.ac.uk/~vgg/data/pets/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snapToGrid w:val="0"/>
    </w:pPr>
    <w:rPr>
      <w:rFonts w:ascii="Microsoft YaHei" w:hAnsi="Microsoft YaHei" w:eastAsia="Microsoft YaHei"/>
      <w:color w:val="172D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300" w:lineRule="auto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D2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00" w:lineRule="auto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D2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00" w:lineRule="auto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auto" w:after="120"/>
      <w:snapToGrid w:val="0"/>
    </w:pPr>
    <w:rPr>
      <w:rFonts w:ascii="Microsoft YaHei" w:hAnsi="Microsoft YaHei" w:eastAsia="Microsoft YaHei"/>
      <w:b w:val="0"/>
      <w:bCs/>
      <w:color w:val="172D23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