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SkillBridge — Executive Summary</w:t>
      </w:r>
    </w:p>
    <w:p>
      <w:r>
        <w:t>Confidential | Seed Round $3M | Singapore | June 2026</w:t>
      </w:r>
    </w:p>
    <w:p>
      <w:pPr>
        <w:pStyle w:val="Heading1"/>
      </w:pPr>
      <w:r>
        <w:t>Company Overview</w:t>
      </w:r>
    </w:p>
    <w:p>
      <w:r>
        <w:t>SkillBridge is a Singapore-headquartered EdTech startup delivering an AI-powered vocational upskilling platform for blue-collar workers in Southeast Asia. We partner with manufacturers and logistics companies to reskill frontline workers in digital operations, equipment maintenance, and safety compliance — fully on mobile, in local languages.</w:t>
      </w:r>
    </w:p>
    <w:p>
      <w:pPr>
        <w:pStyle w:val="Heading1"/>
      </w:pPr>
      <w:r>
        <w:t>The Problem</w:t>
      </w:r>
    </w:p>
    <w:p>
      <w:r>
        <w:t>Southeast Asia has 240 million blue-collar workers at risk of displacement from automation. Existing training solutions require classroom attendance, cost enterprises $800-1200 per worker, and achieve only 34% completion rates. The result: a $28B skills gap widening at 18% annually.</w:t>
      </w:r>
    </w:p>
    <w:p>
      <w:pPr>
        <w:pStyle w:val="Heading1"/>
      </w:pPr>
      <w:r>
        <w:t>Our Solution</w:t>
      </w:r>
    </w:p>
    <w:p>
      <w:r>
        <w:t>SkillBridge delivers 10-20 minute micro-learning modules in Bahasa Indonesia, Bahasa Malaysia, Filipino, Tamil, Vietnamese, and English. Our AI tutor SkillBot adapts difficulty in real time. Employers pay $12 per worker per month (B2B SaaS). Completion rate: 89% vs 34% industry average.</w:t>
      </w:r>
    </w:p>
    <w:p>
      <w:pPr>
        <w:pStyle w:val="Heading1"/>
      </w:pPr>
      <w:r>
        <w:t>Traction</w:t>
      </w:r>
    </w:p>
    <w:p>
      <w:r>
        <w:t>Current ARR: $380,000. 12,400 active learners. 45 paying enterprise clients including Sime Darby Berhad, Jollibee Group, DHL Express SEA, and 3M Singapore. MoM revenue growth: 22% average over last 6 months.</w:t>
      </w:r>
    </w:p>
    <w:p>
      <w:pPr>
        <w:pStyle w:val="Heading1"/>
      </w:pPr>
      <w:r>
        <w:t>Funding Ask</w:t>
      </w:r>
    </w:p>
    <w:p>
      <w:r>
        <w:t>We are raising $3M Seed to expand to Indonesia and Vietnam, hire 8 engineers, and sign 20 new enterprise clients. Projected ARR at 12 months: $1.2M. Use of funds: Engineering 40%, Sales expansion 25%, Content production 20%, G&amp;A 15%.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