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Financial Projections FY2026-FY2028</w:t>
      </w:r>
    </w:p>
    <w:p>
      <w:r>
        <w:t>Confidential | Seed Round $3M | Singapore | June 2026</w:t>
      </w:r>
    </w:p>
    <w:p>
      <w:pPr>
        <w:pStyle w:val="Heading1"/>
      </w:pPr>
      <w:r>
        <w:t>Revenue Assumptions</w:t>
      </w:r>
    </w:p>
    <w:p>
      <w:r>
        <w:t>Growth rate assumption: 215% YoY based on current enterprise pipeline of $1.8M in signed LOIs. B2B SaaS contract average value: $144 per worker per year based on $12 per month. B2C subscription: $96 per user per year. Annual churn rate: 8% based on FY2025 cohort data. Gross margin: 74%.</w:t>
      </w:r>
    </w:p>
    <w:p>
      <w:pPr>
        <w:pStyle w:val="Heading1"/>
      </w:pPr>
      <w:r>
        <w:t>Revenue Projections</w:t>
      </w:r>
    </w:p>
    <w:p>
      <w:r>
        <w:t>FY2026 ARR: $1.2M growing from $380K current ARR. FY2027 ARR: $3.8M. FY2028 ARR: $9.2M. Revenue split: 80% B2B enterprise SaaS, 20% B2C individual subscriptions. Total projected revenue FY2026: $800K; FY2027: $2.6M; FY2028: $6.5M.</w:t>
      </w:r>
    </w:p>
    <w:p>
      <w:pPr>
        <w:pStyle w:val="Heading1"/>
      </w:pPr>
      <w:r>
        <w:t>Unit Economics</w:t>
      </w:r>
    </w:p>
    <w:p>
      <w:r>
        <w:t>Customer Acquisition Cost B2B: $4,200 per enterprise client. Average Contract Value: $28,800 per year. Payback period: 1.75 months. Lifetime Value: $86,400 based on 3-year average contract length. LTV to CAC ratio: 20.6x. B2C CAC: $18 per user. B2C LTV: $180. B2C LTV to CAC: 10x.</w:t>
      </w:r>
    </w:p>
    <w:p>
      <w:pPr>
        <w:pStyle w:val="Heading1"/>
      </w:pPr>
      <w:r>
        <w:t>Cost Structure</w:t>
      </w:r>
    </w:p>
    <w:p>
      <w:r>
        <w:t>Engineering and Product: 45% of OpEx. Sales and Marketing: 30%. General and Administrative: 15%. Infrastructure: 10%. Current burn rate: $68,000 per month. Runway at current pace: 11 months. Post-Seed runway at projected burn: 26 months. EBITDA breakeven projected at $3.2M ARR in Q3 2027.</w:t>
      </w:r>
    </w:p>
    <w:p>
      <w:pPr>
        <w:pStyle w:val="Heading1"/>
      </w:pPr>
      <w:r>
        <w:t>Path to Profitability</w:t>
      </w:r>
    </w:p>
    <w:p>
      <w:r>
        <w:t>No further fundraising required before Series A at $10M ARR. Financial statements available in data room. Revenue figures reconciled monthly against Stripe and Xero. All projections based on documented assumptions in financial model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