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Market Research &amp; TAM Analysis</w:t>
      </w:r>
    </w:p>
    <w:p>
      <w:r>
        <w:t>Confidential | Seed Round $3M | Singapore | June 2026</w:t>
      </w:r>
    </w:p>
    <w:p>
      <w:pPr>
        <w:pStyle w:val="Heading1"/>
      </w:pPr>
      <w:r>
        <w:t>Total Addressable Market</w:t>
      </w:r>
    </w:p>
    <w:p>
      <w:r>
        <w:t>The Southeast Asia vocational training market is valued at $28.4B in 2025, source: Korn Ferry Future of Work Report 2025. Growing at 18% CAGR driven by automation displacement of 240 million blue-collar workers, government reskilling mandates in Singapore and Malaysia, and ESG compliance pressure on manufacturers to demonstrate worker development.</w:t>
      </w:r>
    </w:p>
    <w:p>
      <w:pPr>
        <w:pStyle w:val="Heading1"/>
      </w:pPr>
      <w:r>
        <w:t>Serviceable Addressable Market</w:t>
      </w:r>
    </w:p>
    <w:p>
      <w:r>
        <w:t>Our SAM is $4.2B covering enterprises with 50-5000 frontline workers in manufacturing, logistics, and food and beverage in Singapore, Malaysia, and Philippines. We target 3,200 companies across these three markets as our initial expansion zone.</w:t>
      </w:r>
    </w:p>
    <w:p>
      <w:pPr>
        <w:pStyle w:val="Heading1"/>
      </w:pPr>
      <w:r>
        <w:t>Growth Drivers</w:t>
      </w:r>
    </w:p>
    <w:p>
      <w:r>
        <w:t>SkillsFuture Singapore has mandated digital literacy training for all workers by 2027. Malaysia HRD Corp provides $800 annual training subsidies per worker. Philippines TESDA signed MOU with SkillBridge in March 2026. Post-COVID normalisation of mobile learning among blue-collar workers removes the adoption barrier that blocked earlier entrants.</w:t>
      </w:r>
    </w:p>
    <w:p>
      <w:pPr>
        <w:pStyle w:val="Heading1"/>
      </w:pPr>
      <w:r>
        <w:t>Competitive Gap</w:t>
      </w:r>
    </w:p>
    <w:p>
      <w:r>
        <w:t>Primary competitors: Coursera for Business at $400 per user per year with English only delivery, LinkedIn Learning serving professional workers only, Udemy Business as a content library without AI adaptation. No direct competitor serves blue-collar workers in 6 Southeast Asian languages with AI-powered adaptive tutoring at $144 per worker per year.</w:t>
      </w:r>
    </w:p>
    <w:p>
      <w:pPr>
        <w:pStyle w:val="Heading1"/>
      </w:pPr>
      <w:r>
        <w:t>Market Validation</w:t>
      </w:r>
    </w:p>
    <w:p>
      <w:r>
        <w:t>12,400 learners onboarded without paid marketing. 45 enterprise clients signed through founder-led sales. NPS score of 72. Approved vendor on SkillsFuture Singapore portal enabling workers to use $500 government credits for SkillBridge courses. Government endorsement validates product-market 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