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SkillBridge — Product Overview</w:t>
      </w:r>
    </w:p>
    <w:p>
      <w:r>
        <w:t>Confidential | Seed Round $3M | Singapore | June 2026</w:t>
      </w:r>
    </w:p>
    <w:p>
      <w:pPr>
        <w:pStyle w:val="Heading1"/>
      </w:pPr>
      <w:r>
        <w:t>Core Platform</w:t>
      </w:r>
    </w:p>
    <w:p>
      <w:r>
        <w:t>Mobile-first learning app on iOS and Android with offline sync capability for factory environments with limited connectivity. AI tutor SkillBot adapts learning pace and content format in real time based on learner performance signals. Available in Bahasa Indonesia, Bahasa Malaysia, Filipino, Tamil, Vietnamese, and English.</w:t>
      </w:r>
    </w:p>
    <w:p>
      <w:pPr>
        <w:pStyle w:val="Heading1"/>
      </w:pPr>
      <w:r>
        <w:t>Module Library</w:t>
      </w:r>
    </w:p>
    <w:p>
      <w:r>
        <w:t>340 certified micro-modules covering Equipment Maintenance and Repair, Safety and OSHA Compliance, Digital Operations including ERP system basics, Quality Control and ISO standards, and Leadership Fundamentals for team leads. Each module is 10-20 minutes in video plus interactive quiz format optimised for mobile screens.</w:t>
      </w:r>
    </w:p>
    <w:p>
      <w:pPr>
        <w:pStyle w:val="Heading1"/>
      </w:pPr>
      <w:r>
        <w:t>Employer Dashboard</w:t>
      </w:r>
    </w:p>
    <w:p>
      <w:r>
        <w:t>Real-time workforce skills matrix showing certification progress by department and role. Automated compliance tracking with renewal reminders. API integration with major HRMS platforms including SAP SuccessFactors, Workday, and Oracle HCM. Custom reporting for ESG disclosures on workforce development.</w:t>
      </w:r>
    </w:p>
    <w:p>
      <w:pPr>
        <w:pStyle w:val="Heading1"/>
      </w:pPr>
      <w:r>
        <w:t>AI Differentiation</w:t>
      </w:r>
    </w:p>
    <w:p>
      <w:r>
        <w:t>Our AI tutor SkillBot is trained on 2.3 million learner interactions accumulated over 14 months. It detects disengagement signals in real time and switches content format between video, interactive quiz, and simulation to re-engage learners. This drives our 89% completion rate versus the 34% industry average, a 2.6x improvement.</w:t>
      </w:r>
    </w:p>
    <w:p>
      <w:pPr>
        <w:pStyle w:val="Heading1"/>
      </w:pPr>
      <w:r>
        <w:t>Intellectual Property</w:t>
      </w:r>
    </w:p>
    <w:p>
      <w:r>
        <w:t>Patent pending on adaptive micro-learning engine, Singapore patent application number 10202312345W, filed January 2026. Proprietary multilingual NLP model fine-tuned on trade and vocational terminology across 6 Southeast Asian languages. Dataset of 2.3 million learning interactions is a first-mover advantage that competitors cannot replicate in under 18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