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SkillBridge — Traction &amp; KPIs</w:t>
      </w:r>
    </w:p>
    <w:p>
      <w:r>
        <w:t>Confidential | Seed Round $3M | Singapore | June 2026</w:t>
      </w:r>
    </w:p>
    <w:p>
      <w:pPr>
        <w:pStyle w:val="Heading1"/>
      </w:pPr>
      <w:r>
        <w:t>Growth Summary</w:t>
      </w:r>
    </w:p>
    <w:p>
      <w:r>
        <w:t>SkillBridge launched October 2024 and reached $380K ARR in 14 months with no enterprise sales team and no paid marketing budget. All growth driven by founder-led sales and word-of-mouth referrals from satisfied enterprise clients. This demonstrates exceptional product-market fit and efficient go-to-market execution.</w:t>
      </w:r>
    </w:p>
    <w:p>
      <w:pPr>
        <w:pStyle w:val="Heading1"/>
      </w:pPr>
      <w:r>
        <w:t>User Metrics June 2026</w:t>
      </w:r>
    </w:p>
    <w:p>
      <w:r>
        <w:t>12,400 active learners on platform. 89% course completion rate versus 34% industry average. 4.7 out of 5.0 average app store rating from 2,100 verified reviews. Daily Active Users of 5,800 representing a 47% DAU to MAU ratio. Average learner completes 3.2 modules per week.</w:t>
      </w:r>
    </w:p>
    <w:p>
      <w:pPr>
        <w:pStyle w:val="Heading1"/>
      </w:pPr>
      <w:r>
        <w:t>Enterprise Client Portfolio</w:t>
      </w:r>
    </w:p>
    <w:p>
      <w:r>
        <w:t>45 paying enterprise clients. Average contract size $28,800 per year. Notable clients include Sime Darby Berhad Malaysia, Jollibee Group Philippines, DHL Express Southeast Asia, and 3M Singapore. NPS score 72. Zero client churn in 14 months of operation. Largest client represents 11% of ARR, no single client above 15%.</w:t>
      </w:r>
    </w:p>
    <w:p>
      <w:pPr>
        <w:pStyle w:val="Heading1"/>
      </w:pPr>
      <w:r>
        <w:t>Revenue Milestones</w:t>
      </w:r>
    </w:p>
    <w:p>
      <w:r>
        <w:t>Month 1 launch October 2024: $9,300 MRR. Month 6 April 2025: $112,200 MRR. Month 12 October 2025: $261,400 MRR. Month 14 December 2025: $305,700 MRR. Current June 2026: $383,000 MRR. MoM revenue growth: 22% average over last 6 months. Three new enterprise LOIs signed May 2026 totalling $490,000 ACV.</w:t>
      </w:r>
    </w:p>
    <w:p>
      <w:pPr>
        <w:pStyle w:val="Heading1"/>
      </w:pPr>
      <w:r>
        <w:t>Government Partnerships</w:t>
      </w:r>
    </w:p>
    <w:p>
      <w:r>
        <w:t>Approved vendor on SkillsFuture Singapore portal, workers can apply $500 government SkillsFuture Credit toward SkillBridge certification programs. Memorandum of Understanding signed with Philippines TESDA in March 2026 for vocational certification alignment. Active discussions with Malaysia HRD Corp for grant approval expected Q3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