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SkillBridge — ESG Policy &amp; Impact Report</w:t>
      </w:r>
    </w:p>
    <w:p>
      <w:r>
        <w:t>Confidential | Seed Round $3M | Singapore | June 2026</w:t>
      </w:r>
    </w:p>
    <w:p>
      <w:pPr>
        <w:pStyle w:val="Heading1"/>
      </w:pPr>
      <w:r>
        <w:t>Environmental Commitments</w:t>
      </w:r>
    </w:p>
    <w:p>
      <w:r>
        <w:t>SkillBridge operates carbon-neutral. All cloud infrastructure runs on AWS Singapore region which achieved 100% renewable energy in 2023. Remote-first team structure eliminates office commute emissions. Annual carbon audit conducted by SGS Certification Singapore. Scope 1 emissions: zero as we have no physical operations. Scope 2 emissions from cloud computing fully offset via Gold Standard verified carbon credits. We do not make environmental claims beyond these measured and verified metrics.</w:t>
      </w:r>
    </w:p>
    <w:p>
      <w:pPr>
        <w:pStyle w:val="Heading1"/>
      </w:pPr>
      <w:r>
        <w:t>Social Impact Measurement</w:t>
      </w:r>
    </w:p>
    <w:p>
      <w:r>
        <w:t>We have reskilled 12,400 workers of whom 68% are in the bottom 40% income bracket by household income. An independent survey of 340 certified learners found 89% reported a wage increase within 6 months of completing certification. 51% of our learners are women. We provide 500 free annual scholarships to displaced workers through the SkillBridge Foundation, a registered charity in Singapore under charity registration number 20261234A.</w:t>
      </w:r>
    </w:p>
    <w:p>
      <w:pPr>
        <w:pStyle w:val="Heading1"/>
      </w:pPr>
      <w:r>
        <w:t>Supply Chain and Labor</w:t>
      </w:r>
    </w:p>
    <w:p>
      <w:r>
        <w:t>All operations are conducted within Singapore, Malaysia, Philippines, Indonesia, and Vietnam — jurisdictions with established labor protection frameworks. No exposure to supply chains in jurisdictions with documented labor violations. All content creators and trainers are engaged as employees or formal contractors with written agreements, minimum wage compliance, and access to statutory benefits.</w:t>
      </w:r>
    </w:p>
    <w:p>
      <w:pPr>
        <w:pStyle w:val="Heading1"/>
      </w:pPr>
      <w:r>
        <w:t>Governance Structure</w:t>
      </w:r>
    </w:p>
    <w:p>
      <w:r>
        <w:t>Board of Directors: Dr. Sarah Chen as CEO, Raj Patel as COO, Dr. Wong Siew Ming as Independent Director and former Ministry of Education Singapore Director with 20 years experience, Priya Kapoor as Independent Director and Sequoia Capital Partner. Full shareholder agreement in place with anti-dilution protection, tag-along rights, and information rights for all investors. Financial statements audited by Baker Tilly Singapore for FY2025. PDPA compliant with all learner data stored in Singapore.</w:t>
      </w:r>
    </w:p>
    <w:p>
      <w:pPr>
        <w:pStyle w:val="Heading1"/>
      </w:pPr>
      <w:r>
        <w:t>Diversity and Inclusion</w:t>
      </w:r>
    </w:p>
    <w:p>
      <w:r>
        <w:t>Leadership team is 60% women and spans 5 nationalities. All hiring uses blind resume screening. Pay equity audit conducted annually — January 2026 audit found zero pay gap between genders at the same level. Named diverse leaders: Dr. Sarah Chen CEO is a woman and first-generation immigrant. Mei Lin Tan CTO is a woman with a disability. We publish our diversity metrics annually in our sustainability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