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Competitive Analysis</w:t>
      </w:r>
    </w:p>
    <w:p>
      <w:r>
        <w:t>Confidential | Seed Round $3M | Singapore | June 2026</w:t>
      </w:r>
    </w:p>
    <w:p>
      <w:pPr>
        <w:pStyle w:val="Heading1"/>
      </w:pPr>
      <w:r>
        <w:t>Market Positioning</w:t>
      </w:r>
    </w:p>
    <w:p>
      <w:r>
        <w:t>SkillBridge is the only AI-powered, mobile-first, multilingual vocational training platform built specifically for blue-collar workers in Southeast Asia. All major competitors target professional or knowledge workers and deliver content in English only. Our price point of $144 per worker per year compares to $380-400 for professional-focused competitors.</w:t>
      </w:r>
    </w:p>
    <w:p>
      <w:pPr>
        <w:pStyle w:val="Heading1"/>
      </w:pPr>
      <w:r>
        <w:t>Competitor Weaknesses</w:t>
      </w:r>
    </w:p>
    <w:p>
      <w:r>
        <w:t>Coursera for Business at $400 per worker per year in English only targets university-educated professionals, not factory workers. LinkedIn Learning serves career professionals and requires strong English literacy. Udemy Business is a generic content library without AI adaptation, local language content, or blue-collar specific modules. No competitor has offline mobile capability required for factory environments.</w:t>
      </w:r>
    </w:p>
    <w:p>
      <w:pPr>
        <w:pStyle w:val="Heading1"/>
      </w:pPr>
      <w:r>
        <w:t>Competitive Advantages</w:t>
      </w:r>
    </w:p>
    <w:p>
      <w:r>
        <w:t>Six local language delivery is a 24-month build requiring 2 million labeled training examples — competitors cannot enter quickly. Offline mobile sync for factory environments requires custom architecture. Government accreditation as SkillsFuture Singapore approved vendor took 12 months and provides a credibility barrier. Enterprise HRMS API integrations create switching costs with average 3-month implementation time.</w:t>
      </w:r>
    </w:p>
    <w:p>
      <w:pPr>
        <w:pStyle w:val="Heading1"/>
      </w:pPr>
      <w:r>
        <w:t>Intellectual Property Moat</w:t>
      </w:r>
    </w:p>
    <w:p>
      <w:r>
        <w:t>Dataset of 2.3 million blue-collar learner interactions is proprietary and unique. No competitor has equivalent training data for vocational NLP in Southeast Asian languages. Patent pending on adaptive micro-learning engine. First-mover government partnerships with SkillsFuture Singapore and Philippines TESDA took 18 months to build.</w:t>
      </w:r>
    </w:p>
    <w:p>
      <w:pPr>
        <w:pStyle w:val="Heading1"/>
      </w:pPr>
      <w:r>
        <w:t>Market Entry Barriers</w:t>
      </w:r>
    </w:p>
    <w:p>
      <w:r>
        <w:t>Building multilingual NLP model for vocational language requires 18-24 months of data collection under enterprise privacy agreements. Government vendor accreditation requires 12-18 months per market. Enterprise relationship network for blue-collar training requires deep industry trust built through personal relationships over years. Our 14-month head start represents a significant barrier.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