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SkillBridge — Risk Analysis &amp; Mitigation</w:t>
      </w:r>
    </w:p>
    <w:p>
      <w:r>
        <w:t>Confidential | Seed Round $3M | Singapore | June 2026</w:t>
      </w:r>
    </w:p>
    <w:p>
      <w:pPr>
        <w:pStyle w:val="Heading1"/>
      </w:pPr>
      <w:r>
        <w:t>Market Risk</w:t>
      </w:r>
    </w:p>
    <w:p>
      <w:r>
        <w:t>Risk: Enterprise training budgets cut in economic downturn. Mitigation: 78% of contracts are tied to government subsidy schemes including SkillsFuture Singapore and Malaysia HRD Corp. These government budgets are counter-cyclical and grew 12% during COVID as governments prioritized workforce transition. Additional mitigation: 2-year contract minimums with annual pre-payment reduce in-year cancellation risk.</w:t>
      </w:r>
    </w:p>
    <w:p>
      <w:pPr>
        <w:pStyle w:val="Heading1"/>
      </w:pPr>
      <w:r>
        <w:t>Technology Risk</w:t>
      </w:r>
    </w:p>
    <w:p>
      <w:r>
        <w:t>Risk: Large language model competitor enters market with similar product. Mitigation: Our competitive moat is the proprietary dataset of 2.3 million blue-collar learner interactions and government accreditations, not the underlying AI model. We are model-agnostic and already testing GPT-4o as an upgrade path. Government relationships and enterprise integrations cannot be replicated by a new entrant quickly.</w:t>
      </w:r>
    </w:p>
    <w:p>
      <w:pPr>
        <w:pStyle w:val="Heading1"/>
      </w:pPr>
      <w:r>
        <w:t>Regulatory Risk</w:t>
      </w:r>
    </w:p>
    <w:p>
      <w:r>
        <w:t>Risk: Data privacy laws restrict cross-border transfer of learner data. Mitigation: All learner data is stored in country of origin on AWS regional infrastructure. Singapore data on ap-southeast-1, Malaysia data on ap-southeast-5. PDPA compliant from first day of operations. Separate data residency architecture planned for each new market before launch.</w:t>
      </w:r>
    </w:p>
    <w:p>
      <w:pPr>
        <w:pStyle w:val="Heading1"/>
      </w:pPr>
      <w:r>
        <w:t>Execution Risk</w:t>
      </w:r>
    </w:p>
    <w:p>
      <w:r>
        <w:t>Risk: Founder concentration — loss of key co-founder. Mitigation: Three-person founding team with complementary skills ensures no single point of failure. Key-person life and disability insurance in place for all three co-founders. VP Engineering hired March 2026 as a fourth technical leader. Founder vesting schedule with 4-year cliff prevents abrupt departures. Board approval required for all material decisions.</w:t>
      </w:r>
    </w:p>
    <w:p>
      <w:pPr>
        <w:pStyle w:val="Heading1"/>
      </w:pPr>
      <w:r>
        <w:t>Revenue Concentration Risk</w:t>
      </w:r>
    </w:p>
    <w:p>
      <w:r>
        <w:t>Top 3 clients represent 28% of ARR. Largest single client is 11% of ARR. No single client exceeds 15% of ARR threshold. Active sales pipeline includes 28 enterprise prospects across 4 markets at various stages. Enterprise client NPS of 72 indicates strong retention probability. Zero churn in 14 months of operation provides confidence in retention rates.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