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SkillBridge — Investment Memorandum</w:t>
      </w:r>
    </w:p>
    <w:p>
      <w:r>
        <w:t>Confidential | Seed Round $3M | Singapore | June 2026</w:t>
      </w:r>
    </w:p>
    <w:p>
      <w:pPr>
        <w:pStyle w:val="Heading1"/>
      </w:pPr>
      <w:r>
        <w:t>Investment Thesis</w:t>
      </w:r>
    </w:p>
    <w:p>
      <w:r>
        <w:t>SkillBridge sits at the intersection of three unstoppable structural trends: 240 million Southeast Asian blue-collar workers facing automation displacement by 2030 creating mandatory demand, government mandates in Singapore and Malaysia for workforce upskilling creating subsidized and guaranteed revenue, and ESG pressure on manufacturers to demonstrate worker development programs to satisfy investor and regulatory requirements. We are the only venture-scale company solving all three with an AI-first, mobile-first, local-language platform.</w:t>
      </w:r>
    </w:p>
    <w:p>
      <w:pPr>
        <w:pStyle w:val="Heading1"/>
      </w:pPr>
      <w:r>
        <w:t>Why Now and Why SkillBridge</w:t>
      </w:r>
    </w:p>
    <w:p>
      <w:r>
        <w:t>SkillsFuture Singapore 2027 mandate creates immediate urgency for enterprise buyers with hard compliance deadlines. Post-COVID normalization of mobile learning among blue-collar workers removes the adoption barrier that blocked earlier entrants to this market. $380K ARR proven in 14 months with zero enterprise sales headcount — now we hire and scale. Prior exit by CEO Dr. Sarah Chen at EduAI acquired by Pearson for $18M demonstrates ability to build and exit EdTech businesses in this region.</w:t>
      </w:r>
    </w:p>
    <w:p>
      <w:pPr>
        <w:pStyle w:val="Heading1"/>
      </w:pPr>
      <w:r>
        <w:t>Use of Seed Funds</w:t>
      </w:r>
    </w:p>
    <w:p>
      <w:r>
        <w:t>$3M Seed round allocation: Engineering and AI at 40% to hire 5 engineers and 1 ML scientist for expanding SkillBot capabilities and module production. Sales expansion into Indonesia and Vietnam at 25% to hire 3 enterprise account executives with manufacturing sector relationships. Content production for 200 new modules at 20% to expand library coverage across new sectors. General and Administrative at 15% for finance, legal, and compliance infrastructure. Target milestones at 12 months: $1.2M ARR, 100 enterprise clients, Indonesia market fully launched.</w:t>
      </w:r>
    </w:p>
    <w:p>
      <w:pPr>
        <w:pStyle w:val="Heading1"/>
      </w:pPr>
      <w:r>
        <w:t>Exit Scenarios</w:t>
      </w:r>
    </w:p>
    <w:p>
      <w:r>
        <w:t>Strategic acquirer: Pearson the company that acquired EduAI, Workday expanding HCM platform, or SAP SuccessFactors adding vocational content layer. Precedent: EduAI acquired at 12x ARR confirms buyer appetite. Private equity roll-up by global vocational training consolidators such as Adecco Group or Randstad. IPO: comparable public EdTech companies trade at 6-14x ARR. Target exit at Series B or C: $10M ARR at 10x multiple implies $100M enterprise value versus $3M Seed investment.</w:t>
      </w:r>
    </w:p>
    <w:p>
      <w:pPr>
        <w:pStyle w:val="Heading1"/>
      </w:pPr>
      <w:r>
        <w:t>Terms and Contact</w:t>
      </w:r>
    </w:p>
    <w:p>
      <w:r>
        <w:t>Raising $3M at pre-money valuation of $15M. Priced equity round, ordinary shares. Lead investor minimum $1M with board observer seat. Follow-on tickets minimum $250K. Pro-rata rights in Series A for all Seed investors. Target close: August 31 2026. Contact: Dr. Sarah Chen, CEO, sarah@skillbridge.ai, +65 9111 2222. Raj Patel, COO, raj@skillbridge.ai, +65 9333 4444.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