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40"/>
        </w:rPr>
        <w:t>LFMN复现后研究周报</w:t>
      </w:r>
    </w:p>
    <w:p>
      <w:pPr>
        <w:widowControl/>
        <w:spacing w:line="324" w:lineRule="auto" w:after="240" w:before="0"/>
        <w:ind w:firstLine="0"/>
        <w:autoSpaceDE w:val="0"/>
        <w:autoSpaceDN w:val="0"/>
        <w:jc w:val="center"/>
      </w:pPr>
      <w:r>
        <w:rPr>
          <w:rFonts w:ascii="宋体" w:hAnsi="宋体" w:eastAsia="宋体" w:cs="宋体"/>
          <w:color w:val="000000"/>
          <w:sz w:val="24"/>
        </w:rPr>
        <w:t>日期：2026-09-24</w:t>
      </w:r>
    </w:p>
    <w:p>
      <w:pPr>
        <w:keepNext/>
        <w:spacing w:before="80" w:after="20"/>
        <w:jc w:val="center"/>
        <w:autoSpaceDE w:val="0"/>
        <w:autoSpaceDN w:val="0"/>
      </w:pPr>
      <w:r>
        <w:drawing>
          <wp:inline xmlns:a="http://schemas.openxmlformats.org/drawingml/2006/main" xmlns:pic="http://schemas.openxmlformats.org/drawingml/2006/picture">
            <wp:extent cx="6172200" cy="24174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over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17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  <w:autoSpaceDE w:val="0"/>
        <w:autoSpaceDN w:val="0"/>
      </w:pPr>
      <w:r>
        <w:rPr>
          <w:rFonts w:ascii="宋体" w:hAnsi="宋体" w:eastAsia="宋体" w:cs="宋体"/>
          <w:color w:val="000000"/>
          <w:sz w:val="21"/>
        </w:rPr>
        <w:t>图1复现后实验路线与决策门槛</w:t>
      </w:r>
    </w:p>
    <w:p>
      <w:pPr>
        <w:pStyle w:val="Heading1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32"/>
        </w:rPr>
        <w:t>一、统一实验条件与判断标准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本阶段研究以轻量级 ×4单图像超分辨率为主。正式训练统一使用DIV2K：</w:t>
      </w:r>
    </w:p>
    <w:p>
      <w:pPr>
        <w:pStyle w:val="ListBullet"/>
        <w:spacing w:after="60"/>
        <w:ind w:left="480" w:firstLine="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训练集：DIV2K0001–0800；</w:t>
      </w:r>
    </w:p>
    <w:p>
      <w:pPr>
        <w:pStyle w:val="ListBullet"/>
        <w:spacing w:after="60"/>
        <w:ind w:left="480" w:firstLine="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开发验证集：DIV2K0801–0900，共100张；</w:t>
      </w:r>
    </w:p>
    <w:p>
      <w:pPr>
        <w:pStyle w:val="ListBullet"/>
        <w:spacing w:after="60"/>
        <w:ind w:left="480" w:firstLine="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放大倍率：×4；</w:t>
      </w:r>
    </w:p>
    <w:p>
      <w:pPr>
        <w:pStyle w:val="ListBullet"/>
        <w:spacing w:after="60"/>
        <w:ind w:left="480" w:firstLine="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HR patch：256；</w:t>
      </w:r>
    </w:p>
    <w:p>
      <w:pPr>
        <w:pStyle w:val="ListBullet"/>
        <w:spacing w:after="60"/>
        <w:ind w:left="480" w:firstLine="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batch size：4；</w:t>
      </w:r>
    </w:p>
    <w:p>
      <w:pPr>
        <w:pStyle w:val="ListBullet"/>
        <w:spacing w:after="60"/>
        <w:ind w:left="480" w:firstLine="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随机种子：1；</w:t>
      </w:r>
    </w:p>
    <w:p>
      <w:pPr>
        <w:pStyle w:val="ListBullet"/>
        <w:spacing w:after="60"/>
        <w:ind w:left="480" w:firstLine="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主损失：L1；</w:t>
      </w:r>
    </w:p>
    <w:p>
      <w:pPr>
        <w:pStyle w:val="ListBullet"/>
        <w:spacing w:after="60"/>
        <w:ind w:left="480" w:firstLine="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最终测试计划：Set5、Set14、B100、Urban100、Manga109。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研究过程分为两个阶段。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第一阶段为了快速淘汰无效结构，原LFMN和修改后的LFMN都从同一份官方预训练权重scale4_model_939.pt开始，同时微调5或10epoch。早期一般先评测DIV2K0801–0810；只有候选在最后3个epoch稳定领先约 +0.01dB，才扩大到0801–0900。扩大到100图后通常需要达到约 +0.02～+0.03dB、SSIM不退化，才值得继续训练。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连续多次微调发现，许多方案的差值只有 ±0.001dB左右，容易受到短训练和预训练权重适配的影响。因此后续改为：B0和候选都从随机初始化开始，在完全相同的协议下训练20epoch；候选必须在最终epoch和最后3～5个epoch都保持正收益，逐图置信区间、SSIM和效率也不能出现明显反证，才继续到40epoch或更长训练。不能只选择中途某个最好epoch作为有效结果。</w:t>
      </w:r>
    </w:p>
    <w:p>
      <w:pPr>
        <w:pStyle w:val="Heading1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32"/>
        </w:rPr>
        <w:t>二、第一阶段：基于官方权重的同时微调</w:t>
      </w:r>
    </w:p>
    <w:p>
      <w:pPr>
        <w:keepNext/>
        <w:spacing w:before="80" w:after="20"/>
        <w:jc w:val="center"/>
        <w:autoSpaceDE w:val="0"/>
        <w:autoSpaceDN w:val="0"/>
      </w:pPr>
      <w:r>
        <w:drawing>
          <wp:inline xmlns:a="http://schemas.openxmlformats.org/drawingml/2006/main" xmlns:pic="http://schemas.openxmlformats.org/drawingml/2006/picture">
            <wp:extent cx="6172200" cy="27774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stru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7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  <w:autoSpaceDE w:val="0"/>
        <w:autoSpaceDN w:val="0"/>
      </w:pPr>
      <w:r>
        <w:rPr>
          <w:rFonts w:ascii="宋体" w:hAnsi="宋体" w:eastAsia="宋体" w:cs="宋体"/>
          <w:color w:val="000000"/>
          <w:sz w:val="21"/>
        </w:rPr>
        <w:t>图2主要结构尝试在LFMN中的作用位置</w:t>
      </w:r>
    </w:p>
    <w:p>
      <w:pPr>
        <w:pStyle w:val="Heading2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8"/>
        </w:rPr>
        <w:t>1. 尝试阶段反馈修正SFML（P01）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做了什么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原LFMN的SFML只根据共享浅层特征产生调制参数。该方案在第3、5、7阶段增加轻量反馈分支，根据当前阶段恢复特征预测delta_beta/delta_gamma，希望利用当前恢复状态修正后续特征调制。候选新增4,008个参数，约增加0.528%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怎么训练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原LFMN和候选都从相同官方权重开始，在DIV2K1–800上同时微调10epoch，学习率1e-5，先验证801–810，再用最终checkpoint验证801–900。为了排除新增分支学习太慢，又单独做了反馈分支10倍学习率实验。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  <w:tblHeader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指标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原LFMN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阶段反馈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差值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10图epoch10PSNR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29.784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29.788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+0.004dB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10图最佳PSNR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29.791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29.788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−0.003dB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10epoch PSNR均值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29.7848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29.7858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+0.0010dB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100图最终PSNR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29.248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29.248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约0.000dB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100图最终SSIM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0.8447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0.8446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−0.0001</w:t>
            </w:r>
          </w:p>
        </w:tc>
      </w:tr>
    </w:tbl>
    <w:p>
      <w:pPr>
        <w:spacing w:after="60"/>
        <w:autoSpaceDE w:val="0"/>
        <w:autoSpaceDN w:val="0"/>
      </w:pP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反馈分支使用10倍学习率后，最佳PSNR仍为29.788dB，没有超过原LFMN的29.791dB。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分析与结论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10图末轮只有 +0.004dB，扩大到100图后完全消失，SSIM还略低；提高新增分支学习率也没有改善。因此不是简单的“新分支没学动”。该方案没有稳定优化，停止采用。</w:t>
      </w:r>
    </w:p>
    <w:p>
      <w:pPr>
        <w:pStyle w:val="Heading2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8"/>
        </w:rPr>
        <w:t>2. 尝试中间特征“双向融合”（N1）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做了什么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计划缓存中间阶段状态，并在最终阶段把早期信息重新投影回来，希望形成跨阶段双向特征融合。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怎么训练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原LFMN和候选从相同官方权重出发，各微调5epoch，训练、数据和随机种子完全一致。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  <w:tblHeader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指标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B0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N1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差值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epoch5PSNR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29.7849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29.7842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约 −0.0006dB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最佳PSNR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29.7887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29.7885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约 −0.0002dB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最后3轮PSNR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29.7834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29.7831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约 −0.0003dB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最终SSIM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0.83672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0.83672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约0</w:t>
            </w:r>
          </w:p>
        </w:tc>
      </w:tr>
    </w:tbl>
    <w:p>
      <w:pPr>
        <w:spacing w:after="60"/>
        <w:autoSpaceDE w:val="0"/>
        <w:autoSpaceDN w:val="0"/>
      </w:pP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分析与结论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候选没有优化。进一步检查代码发现，缓存的状态在 (state + projection(final)) - state中被抵消，实际并没有真正使用中间特征。因此该实现停止，但这个结果不能用于否定所有真正的双向融合方法。</w:t>
      </w:r>
    </w:p>
    <w:p>
      <w:pPr>
        <w:pStyle w:val="Heading2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8"/>
        </w:rPr>
        <w:t>3. 尝试残差需求监督调制（RDSM v1/v2）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做了什么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训练时增加残差探针，估计每个阶段还没有恢复的HR残差；再用路由器预测“剩余重建需求图”，控制各阶段SFML的调制强度。v1通过零初始化阶段增益间接调制；v2去掉标量瓶颈，直接使用需求图调制SFML。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怎么训练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B0、无教师路由、残差监督和完整RDSM都从同一官方权重开始微调5epoch。v2重新运行了匹配的数据随机流和B0。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cantSplit w:val="true"/>
          <w:tblHeader w:val="true"/>
        </w:trPr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组别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最终PSNR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最佳PSNR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最后3轮PSNR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相对B0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最终SSIM</w:t>
            </w:r>
          </w:p>
        </w:tc>
      </w:tr>
      <w:tr>
        <w:trPr>
          <w:cantSplit w:val="true"/>
        </w:trPr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v1B0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29.7850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29.7864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29.7846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0.83661</w:t>
            </w:r>
          </w:p>
        </w:tc>
      </w:tr>
      <w:tr>
        <w:trPr>
          <w:cantSplit w:val="true"/>
        </w:trPr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v1普通路由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29.7877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29.7877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29.7850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最后3轮 +0.0004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0.83661</w:t>
            </w:r>
          </w:p>
        </w:tc>
      </w:tr>
      <w:tr>
        <w:trPr>
          <w:cantSplit w:val="true"/>
        </w:trPr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v1残差监督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29.7877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29.7877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29.7850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最后3轮 +0.0004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0.83657</w:t>
            </w:r>
          </w:p>
        </w:tc>
      </w:tr>
      <w:tr>
        <w:trPr>
          <w:cantSplit w:val="true"/>
        </w:trPr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v1完整RDSM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29.7880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29.7880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29.7851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最后3轮 +0.0005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0.83659</w:t>
            </w:r>
          </w:p>
        </w:tc>
      </w:tr>
      <w:tr>
        <w:trPr>
          <w:cantSplit w:val="true"/>
        </w:trPr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v2B0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29.7843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29.7883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29.7833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0.83670</w:t>
            </w:r>
          </w:p>
        </w:tc>
      </w:tr>
      <w:tr>
        <w:trPr>
          <w:cantSplit w:val="true"/>
        </w:trPr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v2直接路由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29.7836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29.7884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29.7825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最后3轮 −0.0008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0.83671</w:t>
            </w:r>
          </w:p>
        </w:tc>
      </w:tr>
      <w:tr>
        <w:trPr>
          <w:cantSplit w:val="true"/>
        </w:trPr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v2完整监督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29.7823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29.7884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29.7815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最后3轮 −0.0018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0.83668</w:t>
            </w:r>
          </w:p>
        </w:tc>
      </w:tr>
    </w:tbl>
    <w:p>
      <w:pPr>
        <w:spacing w:after="60"/>
        <w:autoSpaceDE w:val="0"/>
        <w:autoSpaceDN w:val="0"/>
      </w:pP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分析与结论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v1完整模型最后3轮只提高0.0005dB，属于误差波动；v2直接加强调制后反而下降。说明“剩余需求图”虽然可以学习，但没有稳定转化为最终PSNR。该方向不采用。</w:t>
      </w:r>
    </w:p>
    <w:p>
      <w:pPr>
        <w:pStyle w:val="Heading2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8"/>
        </w:rPr>
        <w:t>4. 尝试中途更新共享先验（N3）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做了什么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在第4阶段后把X4与原共享先验fs拼接，通过轻量瓶颈和深度卷积生成一次先验残差；更新后的先验供阶段5–8共同使用。新增约1,016个参数。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怎么训练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只训练候选5epoch，直接复用同协议、同数据随机流的B0。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  <w:tblHeader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指标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B0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N3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差值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epoch5PSNR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29.784851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29.783829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−0.001022dB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最佳PSNR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29.788731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29.787678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−0.001053dB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最后3轮PSNR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29.783422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29.783096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−0.000326dB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最终SSIM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0.836724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0.836714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−0.000010</w:t>
            </w:r>
          </w:p>
        </w:tc>
      </w:tr>
    </w:tbl>
    <w:p>
      <w:pPr>
        <w:spacing w:after="60"/>
        <w:autoSpaceDE w:val="0"/>
        <w:autoSpaceDN w:val="0"/>
      </w:pP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分析与结论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最终值、最佳值和最后3轮都没有超过B0。一次中途先验更新没有带来优化，停止该方案。</w:t>
      </w:r>
    </w:p>
    <w:p>
      <w:pPr>
        <w:pStyle w:val="Heading2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8"/>
        </w:rPr>
        <w:t>5. 尝试跨阶段差分记忆（N4）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做了什么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保存八个阶段输出，用七组相邻差分X_i-X_(i+1) 表示阶段中被删除或改写的信息，再通过7×48个通道门控把有用差分补回最终特征。新增336个参数。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怎么训练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候选从官方权重微调5epoch，复用同协议B0。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  <w:tblHeader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指标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B0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N4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差值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epoch5PSNR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29.784851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29.783976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−0.000875dB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最佳PSNR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29.788731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29.789581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+0.000850dB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最后3轮PSNR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29.783422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29.782797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−0.000626dB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最终SSIM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0.836724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0.836723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−0.000001</w:t>
            </w:r>
          </w:p>
        </w:tc>
      </w:tr>
    </w:tbl>
    <w:p>
      <w:pPr>
        <w:spacing w:after="60"/>
        <w:autoSpaceDE w:val="0"/>
        <w:autoSpaceDN w:val="0"/>
      </w:pP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分析与结论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只有一个最佳epoch高0.000850dB，最终和最后3轮均下降，不能挑选单点作为有效结果。该方案停止。</w:t>
      </w:r>
    </w:p>
    <w:p>
      <w:pPr>
        <w:pStyle w:val="Heading2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8"/>
        </w:rPr>
        <w:t>6. 尝试TAB测试时原型自适应（N5）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做了什么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原TAB在训练时会根据当前batch迭代更新聚类中心，但测试时直接使用固定EMA中心。N5不重新训练模型，只在测试时根据当前图像把中心细化1次或3次。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cantSplit w:val="true"/>
          <w:tblHeader w:val="true"/>
        </w:trPr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验证范围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方法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PSNR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相对固定EMA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SSIM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SSIM差值</w:t>
            </w:r>
          </w:p>
        </w:tc>
      </w:tr>
      <w:tr>
        <w:trPr>
          <w:cantSplit w:val="true"/>
        </w:trPr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10图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固定EMA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29.784851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0.836724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</w:tr>
      <w:tr>
        <w:trPr>
          <w:cantSplit w:val="true"/>
        </w:trPr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10图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细化1次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29.791300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+0.006449dB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0.836644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−0.000080</w:t>
            </w:r>
          </w:p>
        </w:tc>
      </w:tr>
      <w:tr>
        <w:trPr>
          <w:cantSplit w:val="true"/>
        </w:trPr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10图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细化3次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29.788412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+0.003561dB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0.836622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−0.000102</w:t>
            </w:r>
          </w:p>
        </w:tc>
      </w:tr>
      <w:tr>
        <w:trPr>
          <w:cantSplit w:val="true"/>
        </w:trPr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100图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固定EMA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29.247425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0.844723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</w:t>
            </w:r>
          </w:p>
        </w:tc>
      </w:tr>
      <w:tr>
        <w:trPr>
          <w:cantSplit w:val="true"/>
        </w:trPr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100图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细化1次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29.250805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+0.003380dB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0.844631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−0.000092</w:t>
            </w:r>
          </w:p>
        </w:tc>
      </w:tr>
    </w:tbl>
    <w:p>
      <w:pPr>
        <w:spacing w:after="60"/>
        <w:autoSpaceDE w:val="0"/>
        <w:autoSpaceDN w:val="0"/>
      </w:pP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分析与结论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扩大到100图后，PSNR优势从 +0.006449dB缩小到 +0.003380dB，SSIM始终下降。该方法只说明TAB对输入自适应有轻微敏感性，不足以作为创新点。</w:t>
      </w:r>
    </w:p>
    <w:p>
      <w:pPr>
        <w:pStyle w:val="Heading2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8"/>
        </w:rPr>
        <w:t>7. 尝试跨窗口方向特征交换（N6）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做了什么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在每个LRSA回拼后增加一个八阶段共享的方向交换器：先用3×3深度卷积提取局部信息，再并行使用1×11和11×1深度卷积交换横纵方向信息，最后由逐阶段门控注入。新增6,480个参数，约增加0.853%。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怎么训练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候选从官方权重微调5epoch，并在训练后对同一候选checkpoint做模块ON/OFF检查。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  <w:tblHeader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指标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B0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N6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差值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epoch5PSNR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29.784851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29.784550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−0.000301dB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最佳PSNR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29.788731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29.789143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+0.000412dB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最后3轮PSNR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29.783422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29.783258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−0.000164dB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最终SSIM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0.836724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0.836711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−0.000013</w:t>
            </w:r>
          </w:p>
        </w:tc>
      </w:tr>
    </w:tbl>
    <w:p>
      <w:pPr>
        <w:spacing w:after="60"/>
        <w:autoSpaceDE w:val="0"/>
        <w:autoSpaceDN w:val="0"/>
      </w:pP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同一候选checkpoint中，关闭模块为29.784068dB，打开模块为29.784548dB，模块自身贡献只有 +0.000480dB，且完整候选仍低于独立B0。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分析与结论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模块已经工作，不是门控没有打开；但它只补回了候选主干的一小部分退化，说明与原TAB、LRSA和ConvFFN功能高度冗余。该方案停止。</w:t>
      </w:r>
    </w:p>
    <w:p>
      <w:pPr>
        <w:pStyle w:val="Heading1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32"/>
        </w:rPr>
        <w:t>三、为什么从微调切换为从零训练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连续尝试阶段反馈、残差需求调制、先验更新、阶段差分和方向交换后，最后3个epoch的相对变化基本都在 −0.002～+0.001dB范围内。N5的零训练测试时适配在100图上也只有 +0.003380dB，且SSIM下降。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这些结果说明：依赖官方预训练权重做5epoch微调，新增结构可能只能围绕已有解做很小修补，难以判断架构本身是否更好。因此从N7开始，主要改为B0和候选都从零训练，至少比较20epoch的完整训练轨迹、最终值、最后若干epoch、逐图胜率和置信区间。</w:t>
      </w:r>
    </w:p>
    <w:p>
      <w:pPr>
        <w:pStyle w:val="Heading1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32"/>
        </w:rPr>
        <w:t>四、第二阶段：B0与候选都从零训练</w:t>
      </w:r>
    </w:p>
    <w:p>
      <w:pPr>
        <w:pStyle w:val="Heading2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8"/>
        </w:rPr>
        <w:t>8. 从零验证动态先验（PriorProxy）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做了什么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在中途对共享浅层先验做一次锚定式更新，后续阶段持续使用更新后的先验，进一步检验微调阶段失败是否只是预训练权重限制。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怎么训练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B0和PriorProxy都从零训练150epoch，使用相同DIV2K、seed1、L1、Adam和Cosine2e-4→1e-6。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  <w:tblHeader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Epoch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B0PSNR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PriorProxy PSNR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差值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28.468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28.459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−0.009dB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28.619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28.627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+0.008dB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28.688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28.681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−0.007dB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100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28.800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28.797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−0.003dB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150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28.850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28.847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−0.003dB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epoch150SSIM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0.8357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0.8357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约0</w:t>
            </w:r>
          </w:p>
        </w:tc>
      </w:tr>
    </w:tbl>
    <w:p>
      <w:pPr>
        <w:spacing w:after="60"/>
        <w:autoSpaceDE w:val="0"/>
        <w:autoSpaceDN w:val="0"/>
      </w:pP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分析与结论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候选在epoch40短暂领先，但前后多次反转，150epoch最终仍低于B0。说明先验演化从微调到从零训练都没有稳定收益，该路线关闭。</w:t>
      </w:r>
    </w:p>
    <w:p>
      <w:pPr>
        <w:pStyle w:val="Heading2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8"/>
        </w:rPr>
        <w:t>9. 从零训练LRSA交叉轴门控FFN（N7）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做了什么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把LRSA回拼后的5×5DWConv替换为1×11水平卷积和11×1垂直卷积，两方向相互做sigmoid门控。TAB保持不变。参数从759,627降为748,875，减少约1.42%。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怎么训练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候选从零训练20epoch，与同协议B0前20epoch比较，Cosine周期统一固定为150。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  <w:tblHeader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指标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B0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N7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差值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epoch12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未保存绝对值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未保存绝对值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+0.038235dB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epoch20PSNR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28.467976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28.456758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−0.011217dB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最后3轮PSNR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28.454916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28.449701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−0.005215dB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epoch20SSIM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0.826383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0.825870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−0.000513</w:t>
            </w:r>
          </w:p>
        </w:tc>
      </w:tr>
    </w:tbl>
    <w:p>
      <w:pPr>
        <w:spacing w:after="60"/>
        <w:autoSpaceDE w:val="0"/>
        <w:autoSpaceDN w:val="0"/>
      </w:pP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分析与结论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epoch12虽然短暂领先 +0.038235dB，但不能选择中途最好点；最终PSNR、最后3轮和SSIM都下降。该方案不继续到60/150epoch。</w:t>
      </w:r>
    </w:p>
    <w:p>
      <w:pPr>
        <w:pStyle w:val="Heading2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8"/>
        </w:rPr>
        <w:t>10. 从零训练频率选择性双路径重建头（N8）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做了什么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保留原LFMN重建tail，同时从浅层特征x0和共享先验fs提取高频响应，通过一次PixelShuffle(4) 直接预测HR细节残差，并用空间置信度控制注入强度。新增5,224个参数，约增加0.688%。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怎么训练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候选从零训练20epoch，与同协议B0比较；训练后再做100图逐图bootstrap、纹理分层和模块ON/OFF诊断。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  <w:tblHeader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指标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B0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N8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差值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epoch1PSNR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27.583958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27.611973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+0.028015dB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epoch20PSNR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28.467976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28.470938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+0.002962dB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最后3轮PSNR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28.454916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28.454720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−0.000196dB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epoch20SSIM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0.826383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0.826151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−0.000232</w:t>
            </w:r>
          </w:p>
        </w:tc>
      </w:tr>
    </w:tbl>
    <w:p>
      <w:pPr>
        <w:spacing w:after="60"/>
        <w:autoSpaceDE w:val="0"/>
        <w:autoSpaceDN w:val="0"/>
      </w:pP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100图逐图平均PSNR为 +0.002963dB，95% CI为 [−0.002290,+0.008675]，只有51/100张图为正。高纹理组Q4只有 +0.003020dB，CI仍跨0，SSIM下降0.000373。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分析与结论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候选早期有优势，但最后3轮已经转负；逐图区间跨0，高纹理假设也没有成立。该方案停止，不进入40/150epoch。</w:t>
      </w:r>
    </w:p>
    <w:p>
      <w:pPr>
        <w:pStyle w:val="Heading2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8"/>
        </w:rPr>
        <w:t>11. 软Token路由替换TAB（N9）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做了什么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保留TAB外层残差、LayerNorm和ConvFFN，只把EMA中心、硬分组、IASA/IRCA替换为Fs+Fm条件的每图像软Token路由。另准备近等参数A1和普通mixer对照C0。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当前结果状态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  <w:tblHeader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组别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参数量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epoch20PSNR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B0LFMN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759,627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28.475235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已完成并被后续实验复用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A0PCSTR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733,259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当前仓库未找到正式汇总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待找回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A1PCSTR-Wide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759,827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当前仓库未找到正式汇总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待找回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C0普通mixer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733,867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当前仓库未找到正式汇总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待找回</w:t>
            </w:r>
          </w:p>
        </w:tc>
      </w:tr>
    </w:tbl>
    <w:p>
      <w:pPr>
        <w:spacing w:after="60"/>
        <w:autoSpaceDE w:val="0"/>
        <w:autoSpaceDN w:val="0"/>
      </w:pP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分析与结论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目前只能确认实现和B0，不能判断软Token路由是否有效，暂不作为已完成创新点。</w:t>
      </w:r>
    </w:p>
    <w:p>
      <w:pPr>
        <w:pStyle w:val="Heading1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32"/>
        </w:rPr>
        <w:t>五、蒸馏实验：C1已取得明确有效结果</w:t>
      </w:r>
    </w:p>
    <w:p>
      <w:pPr>
        <w:keepNext/>
        <w:spacing w:before="80" w:after="20"/>
        <w:jc w:val="center"/>
        <w:autoSpaceDE w:val="0"/>
        <w:autoSpaceDN w:val="0"/>
      </w:pPr>
      <w:r>
        <w:drawing>
          <wp:inline xmlns:a="http://schemas.openxmlformats.org/drawingml/2006/main" xmlns:pic="http://schemas.openxmlformats.org/drawingml/2006/picture">
            <wp:extent cx="6172200" cy="27774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disti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7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  <w:autoSpaceDE w:val="0"/>
        <w:autoSpaceDN w:val="0"/>
      </w:pPr>
      <w:r>
        <w:rPr>
          <w:rFonts w:ascii="宋体" w:hAnsi="宋体" w:eastAsia="宋体" w:cs="宋体"/>
          <w:color w:val="000000"/>
          <w:sz w:val="21"/>
        </w:rPr>
        <w:t>图3C1普通输出蒸馏训练流程</w:t>
      </w:r>
    </w:p>
    <w:p>
      <w:pPr>
        <w:pStyle w:val="Heading2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8"/>
        </w:rPr>
        <w:t>12. 普通输出蒸馏C1、关系蒸馏M0和完整RGCRD M1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蒸馏加载在哪个环节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教师采用官方DIV2K-only SwinIR-M ×4。教师源码和权重在训练器初始化时加载，权重固定、全程eval()，不参加反向传播。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训练时，同一个LR输入同时送入学生LFMN和教师SwinIR-M：</w:t>
      </w:r>
    </w:p>
    <w:p>
      <w:pPr>
        <w:pStyle w:val="ListBullet"/>
        <w:spacing w:after="60"/>
        <w:ind w:left="480" w:firstLine="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学生输出用于原始L1(student_SR, HR)；</w:t>
      </w:r>
    </w:p>
    <w:p>
      <w:pPr>
        <w:pStyle w:val="ListBullet"/>
        <w:spacing w:after="60"/>
        <w:ind w:left="480" w:firstLine="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C1再增加0.1 × L1(student_SR, teacher_SR)；</w:t>
      </w:r>
    </w:p>
    <w:p>
      <w:pPr>
        <w:pStyle w:val="ListBullet"/>
        <w:spacing w:after="60"/>
        <w:ind w:left="480" w:firstLine="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教师只在训练期间存在，不保存到学生checkpoint；</w:t>
      </w:r>
    </w:p>
    <w:p>
      <w:pPr>
        <w:pStyle w:val="ListBullet"/>
        <w:spacing w:after="60"/>
        <w:ind w:left="480" w:firstLine="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测试和部署仍只加载原LFMN，参数仍为759,627，推理FLOPs和延迟不增加。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完整RGCRD则不使用普通输出KD，而是在训练时额外读取学生和教师的中间特征，对齐stage4、stage8的局部/全局关系以及二者的关系演化；M1再用教师相对GT的可靠性图对关系蒸馏加权。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怎么训练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B0、C1、M0和M1都从零训练40epoch。训练集为DIV2K1–800，验证集为801–900，×4、patch256、batch4、seed1、Adam2e-4、MultiStep调度。四组同epoch比较。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关键epoch PSNR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 w:val="true"/>
          <w:tblHeader w:val="true"/>
        </w:trP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Epoch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B0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C1普通输出KD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M0无门控关系KD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M1完整RGCRD</w:t>
            </w:r>
          </w:p>
        </w:tc>
      </w:tr>
      <w:tr>
        <w:trPr>
          <w:cantSplit w:val="true"/>
        </w:trP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27.588591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27.572460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27.622808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27.586382</w:t>
            </w:r>
          </w:p>
        </w:tc>
      </w:tr>
      <w:tr>
        <w:trPr>
          <w:cantSplit w:val="true"/>
        </w:trP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28.172905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28.173679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28.179987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28.176577</w:t>
            </w:r>
          </w:p>
        </w:tc>
      </w:tr>
      <w:tr>
        <w:trPr>
          <w:cantSplit w:val="true"/>
        </w:trP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10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28.312510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28.324265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28.308340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28.312952</w:t>
            </w:r>
          </w:p>
        </w:tc>
      </w:tr>
      <w:tr>
        <w:trPr>
          <w:cantSplit w:val="true"/>
        </w:trP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20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28.468542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28.485798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28.466995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28.481186</w:t>
            </w:r>
          </w:p>
        </w:tc>
      </w:tr>
      <w:tr>
        <w:trPr>
          <w:cantSplit w:val="true"/>
        </w:trP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30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28.519985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28.539902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28.521572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28.512060</w:t>
            </w:r>
          </w:p>
        </w:tc>
      </w:tr>
      <w:tr>
        <w:trPr>
          <w:cantSplit w:val="true"/>
        </w:trP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40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28.615593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28.647249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28.627192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28.633238</w:t>
            </w:r>
          </w:p>
        </w:tc>
      </w:tr>
    </w:tbl>
    <w:p>
      <w:pPr>
        <w:spacing w:after="60"/>
        <w:autoSpaceDE w:val="0"/>
        <w:autoSpaceDN w:val="0"/>
      </w:pP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40epoch汇总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cantSplit w:val="true"/>
          <w:tblHeader w:val="true"/>
        </w:trPr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比较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epoch40 ΔPSNR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最后5轮平均Δ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最后10轮平均Δ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正收益轮数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epoch40 ΔSSIM</w:t>
            </w:r>
          </w:p>
        </w:tc>
      </w:tr>
      <w:tr>
        <w:trPr>
          <w:cantSplit w:val="true"/>
        </w:trPr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C1−B0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+0.031656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+0.029261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+0.030851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37/40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+0.00085378</w:t>
            </w:r>
          </w:p>
        </w:tc>
      </w:tr>
      <w:tr>
        <w:trPr>
          <w:cantSplit w:val="true"/>
        </w:trPr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M0−B0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+0.011599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+0.010176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+0.008853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26/40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−0.00003797</w:t>
            </w:r>
          </w:p>
        </w:tc>
      </w:tr>
      <w:tr>
        <w:trPr>
          <w:cantSplit w:val="true"/>
        </w:trPr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M1−B0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+0.017645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+0.015323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+0.015893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31/40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+0.00046682</w:t>
            </w:r>
          </w:p>
        </w:tc>
      </w:tr>
      <w:tr>
        <w:trPr>
          <w:cantSplit w:val="true"/>
        </w:trPr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M1−C1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−0.014011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−0.013937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−0.014958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8/40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−0.00038695</w:t>
            </w:r>
          </w:p>
        </w:tc>
      </w:tr>
      <w:tr>
        <w:trPr>
          <w:cantSplit w:val="true"/>
        </w:trPr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M1−M0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+0.006046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+0.005148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+0.007040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26/40</w:t>
            </w:r>
          </w:p>
        </w:tc>
        <w:tc>
          <w:tcPr>
            <w:tcW w:type="dxa" w:w="1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+0.00050479</w:t>
            </w:r>
          </w:p>
        </w:tc>
      </w:tr>
    </w:tbl>
    <w:p>
      <w:pPr>
        <w:spacing w:after="60"/>
        <w:autoSpaceDE w:val="0"/>
        <w:autoSpaceDN w:val="0"/>
      </w:pP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epoch40的近似绝对SSIM为：B0 0.830019、C1 0.830873、M0 0.829981、M1 0.830486。</w:t>
      </w:r>
    </w:p>
    <w:p>
      <w:pPr>
        <w:keepNext/>
        <w:spacing w:before="80" w:after="20"/>
        <w:jc w:val="center"/>
        <w:autoSpaceDE w:val="0"/>
        <w:autoSpaceDN w:val="0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c1_resul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  <w:autoSpaceDE w:val="0"/>
        <w:autoSpaceDN w:val="0"/>
      </w:pPr>
      <w:r>
        <w:rPr>
          <w:rFonts w:ascii="宋体" w:hAnsi="宋体" w:eastAsia="宋体" w:cs="宋体"/>
          <w:color w:val="000000"/>
          <w:sz w:val="21"/>
        </w:rPr>
        <w:t>图4蒸馏四组epoch40PSNR差值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100图逐图结果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 w:val="true"/>
          <w:tblHeader w:val="true"/>
        </w:trP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比较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平均ΔPSNR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胜率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bootstrap95% CI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平均ΔSSIM</w:t>
            </w:r>
          </w:p>
        </w:tc>
      </w:tr>
      <w:tr>
        <w:trPr>
          <w:cantSplit w:val="true"/>
        </w:trP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C1−B0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+0.031660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94%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[+0.025835,+0.037728]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+0.00085400</w:t>
            </w:r>
          </w:p>
        </w:tc>
      </w:tr>
      <w:tr>
        <w:trPr>
          <w:cantSplit w:val="true"/>
        </w:trP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M0−B0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+0.011608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65%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[+0.006638,+0.017059]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−0.00003787</w:t>
            </w:r>
          </w:p>
        </w:tc>
      </w:tr>
      <w:tr>
        <w:trPr>
          <w:cantSplit w:val="true"/>
        </w:trP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M1−B0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+0.017646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73%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[+0.010945,+0.024645]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+0.00046712</w:t>
            </w:r>
          </w:p>
        </w:tc>
      </w:tr>
      <w:tr>
        <w:trPr>
          <w:cantSplit w:val="true"/>
        </w:trP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M1−C1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−0.014013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19%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[−0.021277,−0.006169]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−0.00038689</w:t>
            </w:r>
          </w:p>
        </w:tc>
      </w:tr>
      <w:tr>
        <w:trPr>
          <w:cantSplit w:val="true"/>
        </w:trPr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M1−M0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+0.006039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55%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[−0.001338,+0.013406]</w:t>
            </w:r>
          </w:p>
        </w:tc>
        <w:tc>
          <w:tcPr>
            <w:tcW w:type="dxa" w:w="20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+0.00050498</w:t>
            </w:r>
          </w:p>
        </w:tc>
      </w:tr>
    </w:tbl>
    <w:p>
      <w:pPr>
        <w:spacing w:after="60"/>
        <w:autoSpaceDE w:val="0"/>
        <w:autoSpaceDN w:val="0"/>
      </w:pP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分析与结论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C1普通输出蒸馏已经取得明确有效结果：最终提高 +0.031656dB，最后5/10轮都稳定在约 +0.03dB，40轮中37轮领先，100图中94张为正，置信区间严格大于0，SSIM也提高约0.000854。这是目前最稳定、最清晰的优化结果。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M0说明关系蒸馏本身也有 +0.011599dB的正收益。M1相对B0提高 +0.017645dB，说明完整RGCRD有效；但M1比C1低0.014011dB，而M1相对M0的逐图置信区间跨0。因此当前不能说复杂RGCRD优于普通输出蒸馏，也不能充分证明可靠性门控的贡献。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当前决定是：C1已确认有效，可作为后续所有结构候选的有效训练策略；但“普通输出KD”本身创新性较弱。RGCRD若要成为独立创新点，必须在C1基础上加入关系信息后继续超过C1，而不能只与B0比。 下一步应做C1 + relation/evolution的互补性实验，并以D1−C1为主要判断指标。</w:t>
      </w:r>
    </w:p>
    <w:p>
      <w:pPr>
        <w:pStyle w:val="Heading1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32"/>
        </w:rPr>
        <w:t>六、SRPR框架的连续改进与当前进展</w:t>
      </w:r>
    </w:p>
    <w:p>
      <w:pPr>
        <w:keepNext/>
        <w:spacing w:before="80" w:after="20"/>
        <w:jc w:val="center"/>
        <w:autoSpaceDE w:val="0"/>
        <w:autoSpaceDN w:val="0"/>
      </w:pPr>
      <w:r>
        <w:drawing>
          <wp:inline xmlns:a="http://schemas.openxmlformats.org/drawingml/2006/main" xmlns:pic="http://schemas.openxmlformats.org/drawingml/2006/picture">
            <wp:extent cx="6172200" cy="2571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srp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  <w:autoSpaceDE w:val="0"/>
        <w:autoSpaceDN w:val="0"/>
      </w:pPr>
      <w:r>
        <w:rPr>
          <w:rFonts w:ascii="宋体" w:hAnsi="宋体" w:eastAsia="宋体" w:cs="宋体"/>
          <w:color w:val="000000"/>
          <w:sz w:val="21"/>
        </w:rPr>
        <w:t>图5SRPR结构演进与当前推进方向</w:t>
      </w:r>
    </w:p>
    <w:p>
      <w:pPr>
        <w:pStyle w:val="Heading2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8"/>
        </w:rPr>
        <w:t>13. SRPRv1：HR持久重建状态（N11）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做了什么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在HR空间维护48通道持久状态。每个阶段根据当前HR估计和LR输入计算观测残差，通过反投影、门控近端更新和HR residual update逐阶段修正结果。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怎么训练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N11从零训练20epoch，复用同协议N9B0。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  <w:tblHeader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指标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B0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N11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差值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epoch1PSNR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27.603727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27.778252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+0.174524dB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epoch20PSNR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28.475235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28.476057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+0.000822dB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epoch20SSIM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0.826140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0.826629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+0.000489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最后5轮PSNR差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—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—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−0.001668dB</w:t>
            </w:r>
          </w:p>
        </w:tc>
      </w:tr>
    </w:tbl>
    <w:p>
      <w:pPr>
        <w:spacing w:after="60"/>
        <w:autoSpaceDE w:val="0"/>
        <w:autoSpaceDN w:val="0"/>
      </w:pP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分析与结论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早期优势快速衰减，最后5轮已经转负，而且参数和延迟明显增加。SRPRv1停止，但说明持久重建状态值得进一步重构。</w:t>
      </w:r>
    </w:p>
    <w:p>
      <w:pPr>
        <w:pStyle w:val="Heading2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8"/>
        </w:rPr>
        <w:t>14. SRPRv2：LR持久状态与主干回写（N12）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做了什么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把N11的HR48通道状态改为LR48通道persistent state。每阶段用当前特征形成临时HR估计，经bicubic analysis得到观测残差并反投影回LR；近端更新同时更新state、回写下一阶段主干特征，并维护3通道RGB修正状态q。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怎么训练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N12与B0都从零训练20epoch；20epoch出现稳定正信号后，两组从各自checkpoint严格续训到40epoch。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20epoch结果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  <w:tblHeader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指标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B0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N12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差值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epoch1PSNR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27.603727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27.633535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+0.029808dB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epoch20PSNR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28.475235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28.488039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+0.012804dB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epoch20SSIM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0.826140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0.826292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+0.000152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最后5轮PSNR差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—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—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+0.011672dB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逐图胜率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—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—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74%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逐图95% CI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—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—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[+0.007166,+0.018843] dB</w:t>
            </w:r>
          </w:p>
        </w:tc>
      </w:tr>
    </w:tbl>
    <w:p>
      <w:pPr>
        <w:spacing w:after="60"/>
        <w:autoSpaceDE w:val="0"/>
        <w:autoSpaceDN w:val="0"/>
      </w:pP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40epoch结果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  <w:tblHeader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指标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B0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N12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差值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epoch40PSNR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28.630186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28.625822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−0.004364dB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epoch40SSIM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0.830504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0.830547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+0.000043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最后5轮PSNR差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—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—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+0.007066dB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逐图胜率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—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—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53%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逐图95% CI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—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—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[−0.012260,+0.002455] dB</w:t>
            </w:r>
          </w:p>
        </w:tc>
      </w:tr>
    </w:tbl>
    <w:p>
      <w:pPr>
        <w:spacing w:after="60"/>
        <w:autoSpaceDE w:val="0"/>
        <w:autoSpaceDN w:val="0"/>
      </w:pP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参数从759,627增至841,563，约增加10.8%；服务器中位延迟从23.94ms增至34.90ms，增加约45.8%。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分析与结论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SRPRv2在20epoch出现了可靠正信号，是结构方向中最有价值的阶段性进展；但到40epoch终点反转，逐图区间跨0，延迟代价也过大。因此当前实现不作为最终创新点，但state、observation、writeback和q的因果审计都证明它们确实被模型使用，SRPR机制仍值得继续做轻量化重构。</w:t>
      </w:r>
    </w:p>
    <w:p>
      <w:pPr>
        <w:pStyle w:val="Heading2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8"/>
        </w:rPr>
        <w:t>15. SRPRv3：统一最终输出状态（N13）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做了什么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删除N12的独立48通道state、3通道q、代理stage probe和八套proximal core；改为第2/4/6/8阶段使用共享轻量头更新同一个HR RGB状态，并把该状态同时作为观测反馈对象和最终输出。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当前阶段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本地结构、梯度、AMP、严格重载和真实DIV2K单batch已通过。参数降到596,495，比B0少21.48%；Conv2d MAC约减少60.63%。当前仓库没有正式20epoch PSNR汇总，因此只能算已实现、待正式训练，不能写成已取得精度提升。</w:t>
      </w:r>
    </w:p>
    <w:p>
      <w:pPr>
        <w:pStyle w:val="Heading2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8"/>
        </w:rPr>
        <w:t>16. CPES跨阶段关系共享诊断（N14）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做了什么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计划让不同TAB阶段共享低秩关系原型。正式编码前先冻结B0，检查相邻阶段的TAB响应是否真的可以共享。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结果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四个相邻阶段对的rank-8共享/独立误差比分别为1.2413、1.2325、1.1954、1.3001，全部超过1.10否定线；动态响应预测相对静态输入平均下降1.86%。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分析与结论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相邻阶段没有足够的可共享功能基础，因此没有进入正式候选训练。</w:t>
      </w:r>
    </w:p>
    <w:p>
      <w:pPr>
        <w:pStyle w:val="Heading2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8"/>
        </w:rPr>
        <w:t>17. SRPR-SS：半共享重建动力学（N15）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做了什么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保留N12已证明必要的state、observation、writeback和q，但把八套proximal core改为一套跨阶段共享核，再用阶段特异scale/bias表达差异，目标是降低N12的参数冗余。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怎么训练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N15从零训练20epoch，与同协议B0比较。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 w:val="true"/>
          <w:tblHeader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指标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B0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N15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CE6F1"/>
          </w:tcPr>
          <w:p>
            <w:pPr>
              <w:spacing w:before="0" w:after="0" w:line="276" w:lineRule="auto"/>
              <w:jc w:val="center"/>
              <w:keepNext/>
              <w:autoSpaceDE w:val="0"/>
              <w:autoSpaceDN w:val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差值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epoch20PSNR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28.475235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28.468227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−0.007008dB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最后5轮PSNR差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—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—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−0.007618dB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逐图胜率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—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—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41%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逐图95% CI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—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—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F5F8FC"/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[−0.012066,−0.002061] dB</w:t>
            </w:r>
          </w:p>
        </w:tc>
      </w:tr>
      <w:tr>
        <w:trPr>
          <w:cantSplit w:val="true"/>
        </w:trPr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SSIM差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—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—</w:t>
            </w:r>
          </w:p>
        </w:tc>
        <w:tc>
          <w:tcPr>
            <w:tcW w:type="dxa" w:w="25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76" w:lineRule="auto"/>
              <w:jc w:val="center"/>
              <w:autoSpaceDE w:val="0"/>
              <w:autoSpaceDN w:val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−0.0001518</w:t>
            </w:r>
          </w:p>
        </w:tc>
      </w:tr>
    </w:tbl>
    <w:p>
      <w:pPr>
        <w:spacing w:after="60"/>
        <w:autoSpaceDE w:val="0"/>
        <w:autoSpaceDN w:val="0"/>
      </w:pP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参数只增加1.825%，但Conv2d MAC增加13.947%，服务器中位延迟增加28.814%。</w:t>
      </w:r>
    </w:p>
    <w:p>
      <w:pPr>
        <w:pStyle w:val="Heading3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4"/>
        </w:rPr>
        <w:t>分析与结论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完整跨阶段共享损害了阶段表达，精度和效率都没有通过，不进入40epoch。</w:t>
      </w:r>
    </w:p>
    <w:p>
      <w:pPr>
        <w:pStyle w:val="Heading2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28"/>
        </w:rPr>
        <w:t>18. SRPR当前正在推进的方向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对N12checkpoint的共享审计表明，candidate、gate、writeback、q-update即使选择最佳单一阶段作为八阶段donor，仍分别损失0.094、0.083、0.172、0.032dB，因此不能继续做跨阶段共享。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当前改为保留八个阶段的独立功能，只压缩每阶段参数量最大的48×99gate。已完成阶段特异SVD低秩审计代码和本地验证；rank8理论整网参数为812,955，相对B0增加约7.02%，低于N12的10.8%。目前等待服务器100图低秩审计结果。只有PSNR损失、置信区间和SSIM满足预注册门槛，才实现独立的99→r→48低秩gate，并从零训练20epoch。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因此SRPR当前进展为：</w:t>
      </w:r>
    </w:p>
    <w:p>
      <w:pPr>
        <w:widowControl/>
        <w:spacing w:line="324" w:lineRule="auto" w:after="100" w:before="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•N11：HR状态，早期有效但后期消失 → 关闭</w:t>
      </w:r>
    </w:p>
    <w:p>
      <w:pPr>
        <w:widowControl/>
        <w:spacing w:line="324" w:lineRule="auto" w:after="100" w:before="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•N12：LR状态+主干回写，20epoch有效、40epoch不稳定 → 保留机制证据</w:t>
      </w:r>
    </w:p>
    <w:p>
      <w:pPr>
        <w:widowControl/>
        <w:spacing w:line="324" w:lineRule="auto" w:after="100" w:before="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•N13：统一输出状态，已实现但缺正式训练结果 → 待补</w:t>
      </w:r>
    </w:p>
    <w:p>
      <w:pPr>
        <w:widowControl/>
        <w:spacing w:line="324" w:lineRule="auto" w:after="100" w:before="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•N15：完整共享压缩失败 → 关闭</w:t>
      </w:r>
    </w:p>
    <w:p>
      <w:pPr>
        <w:widowControl/>
        <w:spacing w:line="324" w:lineRule="auto" w:after="100" w:before="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•当前：阶段独立低秩gate审计 → 正在推进</w:t>
      </w:r>
    </w:p>
    <w:p>
      <w:pPr>
        <w:pStyle w:val="Heading1"/>
        <w:autoSpaceDE w:val="0"/>
        <w:autoSpaceDN w:val="0"/>
      </w:pPr>
      <w:r>
        <w:rPr>
          <w:rFonts w:ascii="宋体" w:hAnsi="宋体" w:eastAsia="宋体" w:cs="宋体"/>
          <w:b/>
          <w:color w:val="000000"/>
          <w:sz w:val="32"/>
        </w:rPr>
        <w:t>七、当前最重要的结论与下一步</w:t>
      </w:r>
    </w:p>
    <w:p>
      <w:pPr>
        <w:pStyle w:val="ListNumber"/>
        <w:spacing w:after="80"/>
        <w:ind w:left="480" w:firstLine="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早期连续5/10epoch微调实验的改进基本只有千分之一dB，阶段反馈、残差需求、先验更新、阶段差分和方向交换均没有形成稳定收益，因此已从“预训练后短微调”转为“B0与候选都从零训练”的公平对照。</w:t>
      </w:r>
    </w:p>
    <w:p>
      <w:pPr>
        <w:pStyle w:val="ListNumber"/>
        <w:spacing w:after="80"/>
        <w:ind w:left="480" w:firstLine="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从零结构实验中，N7和N8都未通过20epoch；N12在20epoch出现 +0.012804dB，但40epoch反转，说明结构正信号仍不够稳定。</w:t>
      </w:r>
    </w:p>
    <w:p>
      <w:pPr>
        <w:pStyle w:val="ListNumber"/>
        <w:spacing w:after="80"/>
        <w:ind w:left="480" w:firstLine="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C1普通输出蒸馏是目前唯一达到约 +0.03dB、最后多轮稳定、逐图CI严格为正且SSIM同步提高的明确有效方案。 它可以作为后续模型训练策略，但普通输出KD本身论文创新性不足。</w:t>
      </w:r>
    </w:p>
    <w:p>
      <w:pPr>
        <w:pStyle w:val="ListNumber"/>
        <w:spacing w:after="80"/>
        <w:ind w:left="480" w:firstLine="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RGCRD的关系蒸馏也有效，但完整M1不如C1。下一步不是继续盲目增加关系损失权重，而是在C1基础上加入关系/演化监督，验证它是否能提供超过普通KD的独立增益。</w:t>
      </w:r>
    </w:p>
    <w:p>
      <w:pPr>
        <w:pStyle w:val="ListNumber"/>
        <w:spacing w:after="80"/>
        <w:ind w:left="480" w:firstLine="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SRPR结构线当前最值得推进的是阶段独立低秩gate；先完成百图审计，再决定是否从零训练新候选。</w:t>
      </w:r>
    </w:p>
    <w:p>
      <w:pPr>
        <w:pStyle w:val="ListNumber"/>
        <w:spacing w:after="80"/>
        <w:ind w:left="480" w:firstLine="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N9和N13需要找回正式服务器结果；若没有实际完成，应重新排期或关闭，不能长期停留在“已实现但没有PSNR”的状态。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当前研究主线建议为：</w:t>
      </w:r>
    </w:p>
    <w:p>
      <w:pPr>
        <w:widowControl/>
        <w:spacing w:line="324" w:lineRule="auto" w:after="100" w:before="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•主线一：C1普通输出KD（已确认有效）</w:t>
      </w:r>
    </w:p>
    <w:p>
      <w:pPr>
        <w:widowControl/>
        <w:spacing w:line="324" w:lineRule="auto" w:after="100" w:before="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•→ C1 + relation/evolution互补实验</w:t>
      </w:r>
    </w:p>
    <w:p>
      <w:pPr>
        <w:widowControl/>
        <w:spacing w:line="324" w:lineRule="auto" w:after="100" w:before="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•→ 若超过C1，再形成RGCRD-V2创新点</w:t>
      </w:r>
    </w:p>
    <w:p>
      <w:pPr>
        <w:widowControl/>
        <w:spacing w:line="324" w:lineRule="auto" w:after="100" w:before="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•主线二：SRPR阶段独立低秩gate（正在审计）</w:t>
      </w:r>
    </w:p>
    <w:p>
      <w:pPr>
        <w:widowControl/>
        <w:spacing w:line="324" w:lineRule="auto" w:after="100" w:before="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•→ 审计通过后从零20epoch</w:t>
      </w:r>
    </w:p>
    <w:p>
      <w:pPr>
        <w:widowControl/>
        <w:spacing w:line="324" w:lineRule="auto" w:after="100" w:before="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•→ 若有效，再与C1训练策略组合</w:t>
      </w:r>
    </w:p>
    <w:p>
      <w:pPr>
        <w:widowControl/>
        <w:spacing w:line="324" w:lineRule="auto" w:after="100" w:before="0"/>
        <w:ind w:firstLine="480"/>
        <w:autoSpaceDE w:val="0"/>
        <w:autoSpaceDN w:val="0"/>
      </w:pPr>
      <w:r>
        <w:rPr>
          <w:rFonts w:ascii="宋体" w:hAnsi="宋体" w:eastAsia="宋体" w:cs="宋体"/>
          <w:color w:val="000000"/>
          <w:sz w:val="24"/>
        </w:rPr>
        <w:t>最终只有在DIV2K validation上冻结结构和训练策略后，才一次性评测Set5、Set14、B100、Urban100、Manga109，并与相近参数量和FLOPs的轻量超分论文公平比较。</w:t>
      </w:r>
    </w:p>
    <w:sectPr w:rsidR="00FC693F" w:rsidRPr="0006063C" w:rsidSect="00034616">
      <w:footerReference w:type="default" r:id="rId9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color w:val="000000"/>
        <w:sz w:val="21"/>
      </w:rPr>
      <w:t>第</w:t>
      <w:fldChar w:fldCharType="begin"/>
      <w:instrText xml:space="preserve"> PAGE </w:instrText>
      <w:fldChar w:fldCharType="end"/>
    </w:r>
    <w:r>
      <w:rPr>
        <w:rFonts w:ascii="宋体" w:hAnsi="宋体" w:eastAsia="宋体" w:cs="宋体"/>
        <w:color w:val="000000"/>
        <w:sz w:val="21"/>
      </w:rPr>
      <w:t>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宋体" w:hAnsi="宋体" w:eastAsia="宋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LFMN复现后研究周报</dc:title>
  <dc:subject>LFMN结构创新 蒸馏实验与SRPR进展</dc:subject>
  <dc:creator/>
  <cp:keywords>LFMN,超分辨率,蒸馏,SRPR,周报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