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Arial" w:cs="Arial" w:eastAsia="Arial" w:hAnsi="Arial"/>
          <w:b w:val="false"/>
          <w:bCs w:val="false"/>
          <w:i w:val="false"/>
          <w:iCs w:val="false"/>
          <w:color w:val="0A0A0A"/>
          <w:sz w:val="20"/>
          <w:szCs w:val="20"/>
        </w:rPr>
        <w:t xml:space="preserve"/>
      </w:r>
    </w:p>
    <w:p>
      <w:pPr>
        <w:spacing w:after="80" w:before="0"/>
        <w:jc w:val="center"/>
      </w:pPr>
      <w:r>
        <w:rPr>
          <w:rFonts w:ascii="Arial" w:cs="Arial" w:eastAsia="Arial" w:hAnsi="Arial"/>
          <w:b/>
          <w:bCs/>
          <w:i w:val="false"/>
          <w:iCs w:val="false"/>
          <w:color w:val="C9A84C"/>
          <w:sz w:val="64"/>
          <w:szCs w:val="64"/>
        </w:rPr>
        <w:t xml:space="preserve">∞ SL</w:t>
      </w:r>
    </w:p>
    <w:p>
      <w:pPr>
        <w:spacing w:after="0" w:before="60"/>
      </w:pPr>
      <w:r>
        <w:rPr>
          <w:rFonts w:ascii="Arial" w:cs="Arial" w:eastAsia="Arial" w:hAnsi="Arial"/>
          <w:b w:val="false"/>
          <w:bCs w:val="false"/>
          <w:i w:val="false"/>
          <w:iCs w:val="false"/>
          <w:color w:val="0A0A0A"/>
          <w:sz w:val="20"/>
          <w:szCs w:val="20"/>
        </w:rPr>
        <w:t xml:space="preserve"/>
      </w:r>
    </w:p>
    <w:p>
      <w:pPr>
        <w:spacing w:after="80" w:before="0"/>
        <w:jc w:val="center"/>
      </w:pPr>
      <w:r>
        <w:rPr>
          <w:rFonts w:ascii="Arial" w:cs="Arial" w:eastAsia="Arial" w:hAnsi="Arial"/>
          <w:b/>
          <w:bCs/>
          <w:i w:val="false"/>
          <w:iCs w:val="false"/>
          <w:color w:val="0A0A0A"/>
          <w:sz w:val="40"/>
          <w:szCs w:val="40"/>
        </w:rPr>
        <w:t xml:space="preserve">CREE EN TI:</w:t>
      </w:r>
    </w:p>
    <w:p>
      <w:pPr>
        <w:spacing w:after="80" w:before="0"/>
        <w:jc w:val="center"/>
      </w:pPr>
      <w:r>
        <w:rPr>
          <w:rFonts w:ascii="Arial" w:cs="Arial" w:eastAsia="Arial" w:hAnsi="Arial"/>
          <w:b/>
          <w:bCs/>
          <w:i/>
          <w:iCs/>
          <w:color w:val="C9A84C"/>
          <w:sz w:val="36"/>
          <w:szCs w:val="36"/>
        </w:rPr>
        <w:t xml:space="preserve">DESPIERTA TU PODER INTERIOR</w:t>
      </w:r>
    </w:p>
    <w:p>
      <w:pPr>
        <w:spacing w:after="0" w:before="40"/>
      </w:pPr>
      <w:r>
        <w:rPr>
          <w:rFonts w:ascii="Arial" w:cs="Arial" w:eastAsia="Arial" w:hAnsi="Arial"/>
          <w:b w:val="false"/>
          <w:bCs w:val="false"/>
          <w:i w:val="false"/>
          <w:iCs w:val="false"/>
          <w:color w:val="0A0A0A"/>
          <w:sz w:val="20"/>
          <w:szCs w:val="20"/>
        </w:rPr>
        <w:t xml:space="preserve"/>
      </w:r>
    </w:p>
    <w:p>
      <w:pPr>
        <w:pBdr>
          <w:bottom w:val="single" w:color="C9A84C" w:sz="6" w:space="1"/>
        </w:pBdr>
        <w:spacing w:after="80" w:before="80"/>
      </w:pPr>
      <w:r>
        <w:rPr>
          <w:rFonts w:ascii="Arial" w:cs="Arial" w:eastAsia="Arial" w:hAnsi="Arial"/>
          <w:b w:val="false"/>
          <w:bCs w:val="false"/>
          <w:i w:val="false"/>
          <w:iCs w:val="false"/>
          <w:color w:val="0A0A0A"/>
          <w:sz w:val="20"/>
          <w:szCs w:val="20"/>
        </w:rPr>
        <w:t xml:space="preserve"/>
      </w:r>
    </w:p>
    <w:p>
      <w:pPr>
        <w:spacing w:after="0" w:before="40"/>
      </w:pPr>
      <w:r>
        <w:rPr>
          <w:rFonts w:ascii="Arial" w:cs="Arial" w:eastAsia="Arial" w:hAnsi="Arial"/>
          <w:b w:val="false"/>
          <w:bCs w:val="false"/>
          <w:i w:val="false"/>
          <w:iCs w:val="false"/>
          <w:color w:val="0A0A0A"/>
          <w:sz w:val="20"/>
          <w:szCs w:val="20"/>
        </w:rPr>
        <w:t xml:space="preserve"/>
      </w:r>
    </w:p>
    <w:p>
      <w:pPr>
        <w:spacing w:after="80" w:before="0"/>
        <w:jc w:val="center"/>
      </w:pPr>
      <w:r>
        <w:rPr>
          <w:rFonts w:ascii="Arial" w:cs="Arial" w:eastAsia="Arial" w:hAnsi="Arial"/>
          <w:b w:val="false"/>
          <w:bCs w:val="false"/>
          <w:i/>
          <w:iCs/>
          <w:color w:val="666666"/>
          <w:sz w:val="22"/>
          <w:szCs w:val="22"/>
        </w:rPr>
        <w:t xml:space="preserve">Plan de lanzamiento · Temporada 2025–2027</w:t>
      </w:r>
    </w:p>
    <w:p>
      <w:pPr>
        <w:spacing w:after="80" w:before="0"/>
        <w:jc w:val="center"/>
      </w:pPr>
      <w:r>
        <w:rPr>
          <w:rFonts w:ascii="Arial" w:cs="Arial" w:eastAsia="Arial" w:hAnsi="Arial"/>
          <w:b w:val="false"/>
          <w:bCs w:val="false"/>
          <w:i w:val="false"/>
          <w:iCs w:val="false"/>
          <w:color w:val="999999"/>
          <w:sz w:val="20"/>
          <w:szCs w:val="20"/>
        </w:rPr>
        <w:t xml:space="preserve">Madrid · América Latina · Europa</w:t>
      </w:r>
    </w:p>
    <w:p>
      <w:pPr>
        <w:spacing w:after="0" w:before="80"/>
      </w:pPr>
      <w:r>
        <w:rPr>
          <w:rFonts w:ascii="Arial" w:cs="Arial" w:eastAsia="Arial" w:hAnsi="Arial"/>
          <w:b w:val="false"/>
          <w:bCs w:val="false"/>
          <w:i w:val="false"/>
          <w:iCs w:val="false"/>
          <w:color w:val="0A0A0A"/>
          <w:sz w:val="20"/>
          <w:szCs w:val="20"/>
        </w:rPr>
        <w:t xml:space="preserve"/>
      </w:r>
    </w:p>
    <w:p>
      <w:pPr>
        <w:spacing w:after="80" w:before="0"/>
        <w:jc w:val="center"/>
      </w:pPr>
      <w:r>
        <w:rPr>
          <w:rFonts w:ascii="Arial" w:cs="Arial" w:eastAsia="Arial" w:hAnsi="Arial"/>
          <w:b w:val="false"/>
          <w:bCs w:val="false"/>
          <w:i w:val="false"/>
          <w:iCs w:val="false"/>
          <w:color w:val="BBBBBB"/>
          <w:sz w:val="17"/>
          <w:szCs w:val="17"/>
        </w:rPr>
        <w:t xml:space="preserve">Documento interno · Versión 1.0 · Abril 2025</w:t>
      </w:r>
    </w:p>
    <w:p>
      <w:pPr>
        <w:spacing w:after="0" w:before="600"/>
      </w:pPr>
      <w:r>
        <w:rPr>
          <w:rFonts w:ascii="Arial" w:cs="Arial" w:eastAsia="Arial" w:hAnsi="Arial"/>
          <w:b w:val="false"/>
          <w:bCs w:val="false"/>
          <w:i w:val="false"/>
          <w:iCs w:val="false"/>
          <w:color w:val="0A0A0A"/>
          <w:sz w:val="20"/>
          <w:szCs w:val="20"/>
        </w:rPr>
        <w:t xml:space="preserve"/>
      </w:r>
    </w:p>
    <w:p>
      <w:pPr>
        <w:pBdr>
          <w:bottom w:val="single" w:color="C9A84C" w:sz="6" w:space="1"/>
        </w:pBdr>
        <w:spacing w:after="80" w:before="80"/>
      </w:pPr>
      <w:r>
        <w:rPr>
          <w:rFonts w:ascii="Arial" w:cs="Arial" w:eastAsia="Arial" w:hAnsi="Arial"/>
          <w:b w:val="false"/>
          <w:bCs w:val="false"/>
          <w:i w:val="false"/>
          <w:iCs w:val="false"/>
          <w:color w:val="0A0A0A"/>
          <w:sz w:val="20"/>
          <w:szCs w:val="20"/>
        </w:rPr>
        <w:t xml:space="preserve"/>
      </w:r>
    </w:p>
    <w:p>
      <w:pPr>
        <w:spacing w:after="80" w:before="0"/>
        <w:jc w:val="center"/>
      </w:pPr>
      <w:r>
        <w:rPr>
          <w:rFonts w:ascii="Arial" w:cs="Arial" w:eastAsia="Arial" w:hAnsi="Arial"/>
          <w:b w:val="false"/>
          <w:bCs w:val="false"/>
          <w:i/>
          <w:iCs/>
          <w:color w:val="888888"/>
          <w:sz w:val="17"/>
          <w:szCs w:val="17"/>
        </w:rPr>
        <w:t xml:space="preserve">Ponentes: Mariana Verner · Mariana Saldaña  |  Sociedad: ∞ SL</w:t>
      </w:r>
    </w:p>
    <w:p>
      <w:pPr>
        <w:pageBreakBefore/>
      </w:pPr>
      <w:r>
        <w:br/>
      </w:r>
    </w:p>
    <w:p>
      <w:pPr>
        <w:pBdr>
          <w:bottom w:val="single" w:color="C9A84C" w:sz="8" w:space="3"/>
        </w:pBdr>
        <w:spacing w:after="120" w:before="360"/>
      </w:pPr>
      <w:r>
        <w:rPr>
          <w:rFonts w:ascii="Arial" w:cs="Arial" w:eastAsia="Arial" w:hAnsi="Arial"/>
          <w:b/>
          <w:bCs/>
          <w:i w:val="false"/>
          <w:iCs w:val="false"/>
          <w:color w:val="0A0A0A"/>
          <w:sz w:val="28"/>
          <w:szCs w:val="28"/>
        </w:rPr>
        <w:t xml:space="preserve">1. Resumen ejecutivo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left w:val="single" w:color="C9A84C" w:sz="18"/>
              <w:bottom w:val="none"/>
              <w:right w:val="none"/>
            </w:tcBorders>
            <w:shd w:fill="FDF6E3" w:val="clear"/>
            <w:tcMar>
              <w:top w:type="dxa" w:w="100"/>
              <w:left w:type="dxa" w:w="200"/>
              <w:bottom w:type="dxa" w:w="100"/>
              <w:right w:type="dxa" w:w="120"/>
            </w:tcMar>
          </w:tcPr>
          <w:p>
            <w:pPr>
              <w:spacing w:after="80" w:before="0"/>
              <w:jc w:val="left"/>
            </w:pPr>
            <w:r>
              <w:rPr>
                <w:rFonts w:ascii="Arial" w:cs="Arial" w:eastAsia="Arial" w:hAnsi="Arial"/>
                <w:b w:val="false"/>
                <w:bCs w:val="false"/>
                <w:i/>
                <w:iCs/>
                <w:color w:val="444444"/>
                <w:sz w:val="19"/>
                <w:szCs w:val="19"/>
              </w:rPr>
              <w:t xml:space="preserve">Cree en ti: despierta tu poder interior es un taller de transformación de 3 horas basado en el Método ÉLITE™, que combina comportamiento humano, Sinergología, oratoria y presencia ejecutiva para desbloquear la autoridad natural de cada participante.</w:t>
            </w:r>
          </w:p>
        </w:tc>
      </w:tr>
    </w:tbl>
    <w:p>
      <w:pPr>
        <w:spacing w:after="0" w:before="12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C9A84C" w:sz="1"/>
              <w:left w:val="single" w:color="C9A84C" w:sz="1"/>
              <w:bottom w:val="single" w:color="C9A84C" w:sz="1"/>
              <w:right w:val="single" w:color="C9A84C" w:sz="1"/>
            </w:tcBorders>
            <w:shd w:fill="FDF6E3" w:val="clear"/>
            <w:tcMar>
              <w:top w:type="dxa" w:w="160"/>
              <w:left w:type="dxa" w:w="120"/>
              <w:bottom w:type="dxa" w:w="80"/>
              <w:right w:type="dxa" w:w="120"/>
            </w:tcMar>
          </w:tcPr>
          <w:p>
            <w:pPr>
              <w:spacing w:after="80" w:before="0"/>
              <w:jc w:val="center"/>
            </w:pPr>
            <w:r>
              <w:rPr>
                <w:rFonts w:ascii="Arial" w:cs="Arial" w:eastAsia="Arial" w:hAnsi="Arial"/>
                <w:b/>
                <w:bCs/>
                <w:i w:val="false"/>
                <w:iCs w:val="false"/>
                <w:color w:val="C9A84C"/>
                <w:sz w:val="36"/>
                <w:szCs w:val="36"/>
              </w:rPr>
              <w:t xml:space="preserve">78€</w:t>
            </w:r>
          </w:p>
        </w:tc>
        <w:tc>
          <w:tcPr>
            <w:tcW w:type="dxa" w:w="2300"/>
            <w:tcBorders>
              <w:top w:val="single" w:color="C9A84C" w:sz="1"/>
              <w:left w:val="single" w:color="C9A84C" w:sz="1"/>
              <w:bottom w:val="single" w:color="C9A84C" w:sz="1"/>
              <w:right w:val="single" w:color="C9A84C" w:sz="1"/>
            </w:tcBorders>
            <w:shd w:fill="FDF6E3" w:val="clear"/>
            <w:tcMar>
              <w:top w:type="dxa" w:w="160"/>
              <w:left w:type="dxa" w:w="120"/>
              <w:bottom w:type="dxa" w:w="80"/>
              <w:right w:type="dxa" w:w="120"/>
            </w:tcMar>
          </w:tcPr>
          <w:p>
            <w:pPr>
              <w:spacing w:after="80" w:before="0"/>
              <w:jc w:val="center"/>
            </w:pPr>
            <w:r>
              <w:rPr>
                <w:rFonts w:ascii="Arial" w:cs="Arial" w:eastAsia="Arial" w:hAnsi="Arial"/>
                <w:b/>
                <w:bCs/>
                <w:i w:val="false"/>
                <w:iCs w:val="false"/>
                <w:color w:val="C9A84C"/>
                <w:sz w:val="36"/>
                <w:szCs w:val="36"/>
              </w:rPr>
              <w:t xml:space="preserve">3h</w:t>
            </w:r>
          </w:p>
        </w:tc>
        <w:tc>
          <w:tcPr>
            <w:tcW w:type="dxa" w:w="2300"/>
            <w:tcBorders>
              <w:top w:val="single" w:color="C9A84C" w:sz="1"/>
              <w:left w:val="single" w:color="C9A84C" w:sz="1"/>
              <w:bottom w:val="single" w:color="C9A84C" w:sz="1"/>
              <w:right w:val="single" w:color="C9A84C" w:sz="1"/>
            </w:tcBorders>
            <w:shd w:fill="FDF6E3" w:val="clear"/>
            <w:tcMar>
              <w:top w:type="dxa" w:w="160"/>
              <w:left w:type="dxa" w:w="120"/>
              <w:bottom w:type="dxa" w:w="80"/>
              <w:right w:type="dxa" w:w="120"/>
            </w:tcMar>
          </w:tcPr>
          <w:p>
            <w:pPr>
              <w:spacing w:after="80" w:before="0"/>
              <w:jc w:val="center"/>
            </w:pPr>
            <w:r>
              <w:rPr>
                <w:rFonts w:ascii="Arial" w:cs="Arial" w:eastAsia="Arial" w:hAnsi="Arial"/>
                <w:b/>
                <w:bCs/>
                <w:i w:val="false"/>
                <w:iCs w:val="false"/>
                <w:color w:val="C9A84C"/>
                <w:sz w:val="36"/>
                <w:szCs w:val="36"/>
              </w:rPr>
              <w:t xml:space="preserve">6</w:t>
            </w:r>
          </w:p>
        </w:tc>
        <w:tc>
          <w:tcPr>
            <w:tcW w:type="dxa" w:w="2300"/>
            <w:tcBorders>
              <w:top w:val="single" w:color="C9A84C" w:sz="1"/>
              <w:left w:val="single" w:color="C9A84C" w:sz="1"/>
              <w:bottom w:val="single" w:color="C9A84C" w:sz="1"/>
              <w:right w:val="single" w:color="C9A84C" w:sz="1"/>
            </w:tcBorders>
            <w:shd w:fill="FDF6E3" w:val="clear"/>
            <w:tcMar>
              <w:top w:type="dxa" w:w="160"/>
              <w:left w:type="dxa" w:w="120"/>
              <w:bottom w:type="dxa" w:w="80"/>
              <w:right w:type="dxa" w:w="120"/>
            </w:tcMar>
          </w:tcPr>
          <w:p>
            <w:pPr>
              <w:spacing w:after="80" w:before="0"/>
              <w:jc w:val="center"/>
            </w:pPr>
            <w:r>
              <w:rPr>
                <w:rFonts w:ascii="Arial" w:cs="Arial" w:eastAsia="Arial" w:hAnsi="Arial"/>
                <w:b/>
                <w:bCs/>
                <w:i w:val="false"/>
                <w:iCs w:val="false"/>
                <w:color w:val="C9A84C"/>
                <w:sz w:val="36"/>
                <w:szCs w:val="36"/>
              </w:rPr>
              <w:t xml:space="preserve">2</w:t>
            </w:r>
          </w:p>
        </w:tc>
      </w:tr>
      <w:tr>
        <w:tc>
          <w:tcPr>
            <w:tcW w:type="dxa" w:w="2300"/>
            <w:tcBorders>
              <w:top w:val="single" w:color="C9A84C" w:sz="1"/>
              <w:left w:val="single" w:color="C9A84C" w:sz="1"/>
              <w:bottom w:val="single" w:color="C9A84C" w:sz="1"/>
              <w:right w:val="single" w:color="C9A84C" w:sz="1"/>
            </w:tcBorders>
            <w:shd w:fill="FDF6E3" w:val="clear"/>
            <w:tcMar>
              <w:top w:type="dxa" w:w="0"/>
              <w:left w:type="dxa" w:w="120"/>
              <w:bottom w:type="dxa" w:w="120"/>
              <w:right w:type="dxa" w:w="120"/>
            </w:tcMar>
          </w:tcPr>
          <w:p>
            <w:pPr>
              <w:spacing w:after="80" w:before="0"/>
              <w:jc w:val="center"/>
            </w:pPr>
            <w:r>
              <w:rPr>
                <w:rFonts w:ascii="Arial" w:cs="Arial" w:eastAsia="Arial" w:hAnsi="Arial"/>
                <w:b w:val="false"/>
                <w:bCs w:val="false"/>
                <w:i/>
                <w:iCs/>
                <w:color w:val="666666"/>
                <w:sz w:val="17"/>
                <w:szCs w:val="17"/>
              </w:rPr>
              <w:t xml:space="preserve">Precio por asistente</w:t>
            </w:r>
          </w:p>
        </w:tc>
        <w:tc>
          <w:tcPr>
            <w:tcW w:type="dxa" w:w="2300"/>
            <w:tcBorders>
              <w:top w:val="single" w:color="C9A84C" w:sz="1"/>
              <w:left w:val="single" w:color="C9A84C" w:sz="1"/>
              <w:bottom w:val="single" w:color="C9A84C" w:sz="1"/>
              <w:right w:val="single" w:color="C9A84C" w:sz="1"/>
            </w:tcBorders>
            <w:shd w:fill="FDF6E3" w:val="clear"/>
            <w:tcMar>
              <w:top w:type="dxa" w:w="0"/>
              <w:left w:type="dxa" w:w="120"/>
              <w:bottom w:type="dxa" w:w="120"/>
              <w:right w:type="dxa" w:w="120"/>
            </w:tcMar>
          </w:tcPr>
          <w:p>
            <w:pPr>
              <w:spacing w:after="80" w:before="0"/>
              <w:jc w:val="center"/>
            </w:pPr>
            <w:r>
              <w:rPr>
                <w:rFonts w:ascii="Arial" w:cs="Arial" w:eastAsia="Arial" w:hAnsi="Arial"/>
                <w:b w:val="false"/>
                <w:bCs w:val="false"/>
                <w:i/>
                <w:iCs/>
                <w:color w:val="666666"/>
                <w:sz w:val="17"/>
                <w:szCs w:val="17"/>
              </w:rPr>
              <w:t xml:space="preserve">Duración del taller</w:t>
            </w:r>
          </w:p>
        </w:tc>
        <w:tc>
          <w:tcPr>
            <w:tcW w:type="dxa" w:w="2300"/>
            <w:tcBorders>
              <w:top w:val="single" w:color="C9A84C" w:sz="1"/>
              <w:left w:val="single" w:color="C9A84C" w:sz="1"/>
              <w:bottom w:val="single" w:color="C9A84C" w:sz="1"/>
              <w:right w:val="single" w:color="C9A84C" w:sz="1"/>
            </w:tcBorders>
            <w:shd w:fill="FDF6E3" w:val="clear"/>
            <w:tcMar>
              <w:top w:type="dxa" w:w="0"/>
              <w:left w:type="dxa" w:w="120"/>
              <w:bottom w:type="dxa" w:w="120"/>
              <w:right w:type="dxa" w:w="120"/>
            </w:tcMar>
          </w:tcPr>
          <w:p>
            <w:pPr>
              <w:spacing w:after="80" w:before="0"/>
              <w:jc w:val="center"/>
            </w:pPr>
            <w:r>
              <w:rPr>
                <w:rFonts w:ascii="Arial" w:cs="Arial" w:eastAsia="Arial" w:hAnsi="Arial"/>
                <w:b w:val="false"/>
                <w:bCs w:val="false"/>
                <w:i/>
                <w:iCs/>
                <w:color w:val="666666"/>
                <w:sz w:val="17"/>
                <w:szCs w:val="17"/>
              </w:rPr>
              <w:t xml:space="preserve">Eventos confirmados 2025–26</w:t>
            </w:r>
          </w:p>
        </w:tc>
        <w:tc>
          <w:tcPr>
            <w:tcW w:type="dxa" w:w="2300"/>
            <w:tcBorders>
              <w:top w:val="single" w:color="C9A84C" w:sz="1"/>
              <w:left w:val="single" w:color="C9A84C" w:sz="1"/>
              <w:bottom w:val="single" w:color="C9A84C" w:sz="1"/>
              <w:right w:val="single" w:color="C9A84C" w:sz="1"/>
            </w:tcBorders>
            <w:shd w:fill="FDF6E3" w:val="clear"/>
            <w:tcMar>
              <w:top w:type="dxa" w:w="0"/>
              <w:left w:type="dxa" w:w="120"/>
              <w:bottom w:type="dxa" w:w="120"/>
              <w:right w:type="dxa" w:w="120"/>
            </w:tcMar>
          </w:tcPr>
          <w:p>
            <w:pPr>
              <w:spacing w:after="80" w:before="0"/>
              <w:jc w:val="center"/>
            </w:pPr>
            <w:r>
              <w:rPr>
                <w:rFonts w:ascii="Arial" w:cs="Arial" w:eastAsia="Arial" w:hAnsi="Arial"/>
                <w:b w:val="false"/>
                <w:bCs w:val="false"/>
                <w:i/>
                <w:iCs/>
                <w:color w:val="666666"/>
                <w:sz w:val="17"/>
                <w:szCs w:val="17"/>
              </w:rPr>
              <w:t xml:space="preserve">Expertas en escena</w:t>
            </w:r>
          </w:p>
        </w:tc>
      </w:tr>
    </w:tbl>
    <w:p>
      <w:pPr>
        <w:spacing w:after="0" w:before="200"/>
      </w:pPr>
      <w:r>
        <w:rPr>
          <w:rFonts w:ascii="Arial" w:cs="Arial" w:eastAsia="Arial" w:hAnsi="Arial"/>
          <w:b w:val="false"/>
          <w:bCs w:val="false"/>
          <w:i w:val="false"/>
          <w:iCs w:val="false"/>
          <w:color w:val="0A0A0A"/>
          <w:sz w:val="20"/>
          <w:szCs w:val="20"/>
        </w:rPr>
        <w:t xml:space="preserve"/>
      </w:r>
    </w:p>
    <w:p>
      <w:pPr>
        <w:spacing w:after="100" w:before="0"/>
      </w:pPr>
      <w:r>
        <w:rPr>
          <w:rFonts w:ascii="Arial" w:cs="Arial" w:eastAsia="Arial" w:hAnsi="Arial"/>
          <w:b w:val="false"/>
          <w:bCs w:val="false"/>
          <w:i w:val="false"/>
          <w:iCs w:val="false"/>
          <w:color w:val="333333"/>
          <w:sz w:val="20"/>
          <w:szCs w:val="20"/>
        </w:rPr>
        <w:t xml:space="preserve">El proyecto nace de la unión de dos perfiles complementarios: Mariana Verner, especialista internacional en comportamiento humano y comunicación no verbal, y Mariana Saldaña, experta en oratoria y presencia pública. Juntas presentan un taller que trabaja simultáneamente el cuerpo, la voz y la identidad.</w:t>
      </w:r>
    </w:p>
    <w:p>
      <w:pPr>
        <w:spacing w:after="100" w:before="0"/>
      </w:pPr>
      <w:r>
        <w:rPr>
          <w:rFonts w:ascii="Arial" w:cs="Arial" w:eastAsia="Arial" w:hAnsi="Arial"/>
          <w:b w:val="false"/>
          <w:bCs w:val="false"/>
          <w:i w:val="false"/>
          <w:iCs w:val="false"/>
          <w:color w:val="333333"/>
          <w:sz w:val="20"/>
          <w:szCs w:val="20"/>
        </w:rPr>
        <w:t xml:space="preserve">La primera edición se celebra el 24 de septiembre de 2025 en Madrid. A partir de ahí, el proyecto se expande a tres ediciones en Madrid (sept, oct, nov) y una gira por América Latina en 2026 (Ciudad de México, Cancún y Mérida), con mercados adicionales en España en 2027.</w:t>
      </w:r>
    </w:p>
    <w:p>
      <w:pPr>
        <w:pageBreakBefore/>
      </w:pPr>
      <w:r>
        <w:br/>
      </w:r>
    </w:p>
    <w:p>
      <w:pPr>
        <w:pBdr>
          <w:bottom w:val="single" w:color="C9A84C" w:sz="8" w:space="3"/>
        </w:pBdr>
        <w:spacing w:after="120" w:before="360"/>
      </w:pPr>
      <w:r>
        <w:rPr>
          <w:rFonts w:ascii="Arial" w:cs="Arial" w:eastAsia="Arial" w:hAnsi="Arial"/>
          <w:b/>
          <w:bCs/>
          <w:i w:val="false"/>
          <w:iCs w:val="false"/>
          <w:color w:val="0A0A0A"/>
          <w:sz w:val="28"/>
          <w:szCs w:val="28"/>
        </w:rPr>
        <w:t xml:space="preserve">2. El concepto</w:t>
      </w:r>
    </w:p>
    <w:p>
      <w:pPr>
        <w:spacing w:after="80" w:before="280"/>
      </w:pPr>
      <w:r>
        <w:rPr>
          <w:rFonts w:ascii="Arial" w:cs="Arial" w:eastAsia="Arial" w:hAnsi="Arial"/>
          <w:b/>
          <w:bCs/>
          <w:i w:val="false"/>
          <w:iCs w:val="false"/>
          <w:color w:val="444444"/>
          <w:sz w:val="22"/>
          <w:szCs w:val="22"/>
        </w:rPr>
        <w:t xml:space="preserve">2.1 El problema que resuelve</w:t>
      </w:r>
    </w:p>
    <w:p>
      <w:pPr>
        <w:spacing w:after="100" w:before="0"/>
      </w:pPr>
      <w:r>
        <w:rPr>
          <w:rFonts w:ascii="Arial" w:cs="Arial" w:eastAsia="Arial" w:hAnsi="Arial"/>
          <w:b w:val="false"/>
          <w:bCs w:val="false"/>
          <w:i w:val="false"/>
          <w:iCs w:val="false"/>
          <w:color w:val="333333"/>
          <w:sz w:val="20"/>
          <w:szCs w:val="20"/>
        </w:rPr>
        <w:t xml:space="preserve">Millones de personas —líderes, profesionales, emprendedores— saben exactamente quiénes son y qué valen, pero no logran que el mundo lo perciba. No es falta de talento ni de preparación.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left w:val="single" w:color="C9A84C" w:sz="18"/>
              <w:bottom w:val="none"/>
              <w:right w:val="none"/>
            </w:tcBorders>
            <w:shd w:fill="FDF6E3" w:val="clear"/>
            <w:tcMar>
              <w:top w:type="dxa" w:w="100"/>
              <w:left w:type="dxa" w:w="200"/>
              <w:bottom w:type="dxa" w:w="100"/>
              <w:right w:type="dxa" w:w="120"/>
            </w:tcMar>
          </w:tcPr>
          <w:p>
            <w:pPr>
              <w:spacing w:after="80" w:before="0"/>
              <w:jc w:val="left"/>
            </w:pPr>
            <w:r>
              <w:rPr>
                <w:rFonts w:ascii="Arial" w:cs="Arial" w:eastAsia="Arial" w:hAnsi="Arial"/>
                <w:b w:val="false"/>
                <w:bCs w:val="false"/>
                <w:i/>
                <w:iCs/>
                <w:color w:val="444444"/>
                <w:sz w:val="19"/>
                <w:szCs w:val="19"/>
              </w:rPr>
              <w:t xml:space="preserve">Es que nadie les enseñó a habitarse. Su cuerpo frena lo que su mente ya sabe. Su voz no transmite lo que su interior contiene.</w:t>
            </w:r>
          </w:p>
        </w:tc>
      </w:tr>
    </w:tbl>
    <w:p>
      <w:pPr>
        <w:spacing w:after="80" w:before="280"/>
      </w:pPr>
      <w:r>
        <w:rPr>
          <w:rFonts w:ascii="Arial" w:cs="Arial" w:eastAsia="Arial" w:hAnsi="Arial"/>
          <w:b/>
          <w:bCs/>
          <w:i w:val="false"/>
          <w:iCs w:val="false"/>
          <w:color w:val="444444"/>
          <w:sz w:val="22"/>
          <w:szCs w:val="22"/>
        </w:rPr>
        <w:t xml:space="preserve">2.2 La propuesta de valor</w:t>
      </w:r>
    </w:p>
    <w:p>
      <w:pPr>
        <w:spacing w:after="100" w:before="0"/>
      </w:pPr>
      <w:r>
        <w:rPr>
          <w:rFonts w:ascii="Arial" w:cs="Arial" w:eastAsia="Arial" w:hAnsi="Arial"/>
          <w:b w:val="false"/>
          <w:bCs w:val="false"/>
          <w:i w:val="false"/>
          <w:iCs w:val="false"/>
          <w:color w:val="333333"/>
          <w:sz w:val="20"/>
          <w:szCs w:val="20"/>
        </w:rPr>
        <w:t xml:space="preserve">Cree en ti no es un taller de motivación que dura dos días. Es una experiencia de transformación práctica, basada en ciencia del comportamiento, que produce resultados visibles el mismo día.</w:t>
      </w:r>
    </w:p>
    <w:p>
      <w:pPr>
        <w:pStyle w:val="ListParagraph"/>
        <w:numPr>
          <w:ilvl w:val="0"/>
          <w:numId w:val="2"/>
        </w:numPr>
        <w:spacing w:after="40" w:before="40"/>
      </w:pPr>
      <w:r>
        <w:rPr>
          <w:rFonts w:ascii="Arial" w:cs="Arial" w:eastAsia="Arial" w:hAnsi="Arial"/>
          <w:b w:val="false"/>
          <w:bCs w:val="false"/>
          <w:i w:val="false"/>
          <w:iCs w:val="false"/>
          <w:color w:val="333333"/>
          <w:sz w:val="19"/>
          <w:szCs w:val="19"/>
        </w:rPr>
        <w:t xml:space="preserve">Método ÉLITE™: sistema propietario de Mariana Verner — Encarnar, Liderar, Integrar, Transmitir, Elevar</w:t>
      </w:r>
    </w:p>
    <w:p>
      <w:pPr>
        <w:pStyle w:val="ListParagraph"/>
        <w:numPr>
          <w:ilvl w:val="0"/>
          <w:numId w:val="2"/>
        </w:numPr>
        <w:spacing w:after="40" w:before="40"/>
      </w:pPr>
      <w:r>
        <w:rPr>
          <w:rFonts w:ascii="Arial" w:cs="Arial" w:eastAsia="Arial" w:hAnsi="Arial"/>
          <w:b w:val="false"/>
          <w:bCs w:val="false"/>
          <w:i w:val="false"/>
          <w:iCs w:val="false"/>
          <w:color w:val="333333"/>
          <w:sz w:val="19"/>
          <w:szCs w:val="19"/>
        </w:rPr>
        <w:t xml:space="preserve">Sinergología aplicada: lectura e intervención del lenguaje corporal como extensión de la identidad</w:t>
      </w:r>
    </w:p>
    <w:p>
      <w:pPr>
        <w:pStyle w:val="ListParagraph"/>
        <w:numPr>
          <w:ilvl w:val="0"/>
          <w:numId w:val="2"/>
        </w:numPr>
        <w:spacing w:after="40" w:before="40"/>
      </w:pPr>
      <w:r>
        <w:rPr>
          <w:rFonts w:ascii="Arial" w:cs="Arial" w:eastAsia="Arial" w:hAnsi="Arial"/>
          <w:b w:val="false"/>
          <w:bCs w:val="false"/>
          <w:i w:val="false"/>
          <w:iCs w:val="false"/>
          <w:color w:val="333333"/>
          <w:sz w:val="19"/>
          <w:szCs w:val="19"/>
        </w:rPr>
        <w:t xml:space="preserve">Oratoria real: trabajo con la voz, el ritmo y la presencia en público</w:t>
      </w:r>
    </w:p>
    <w:p>
      <w:pPr>
        <w:pStyle w:val="ListParagraph"/>
        <w:numPr>
          <w:ilvl w:val="0"/>
          <w:numId w:val="2"/>
        </w:numPr>
        <w:spacing w:after="40" w:before="40"/>
      </w:pPr>
      <w:r>
        <w:rPr>
          <w:rFonts w:ascii="Arial" w:cs="Arial" w:eastAsia="Arial" w:hAnsi="Arial"/>
          <w:b w:val="false"/>
          <w:bCs w:val="false"/>
          <w:i w:val="false"/>
          <w:iCs w:val="false"/>
          <w:color w:val="333333"/>
          <w:sz w:val="19"/>
          <w:szCs w:val="19"/>
        </w:rPr>
        <w:t xml:space="preserve">Formato íntimo: máximo 50–100 personas para garantizar profundidad y calidad</w:t>
      </w:r>
    </w:p>
    <w:p>
      <w:pPr>
        <w:spacing w:after="80" w:before="280"/>
      </w:pPr>
      <w:r>
        <w:rPr>
          <w:rFonts w:ascii="Arial" w:cs="Arial" w:eastAsia="Arial" w:hAnsi="Arial"/>
          <w:b/>
          <w:bCs/>
          <w:i w:val="false"/>
          <w:iCs w:val="false"/>
          <w:color w:val="444444"/>
          <w:sz w:val="22"/>
          <w:szCs w:val="22"/>
        </w:rPr>
        <w:t xml:space="preserve">2.3 La audiencia objetivo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Perfil principal</w:t>
            </w:r>
          </w:p>
        </w:tc>
        <w:tc>
          <w:tcPr>
            <w:tcW w:type="dxa" w:w="4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Perfil secundario</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Mujeres 28–50 años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Líderes y directivos</w:t>
            </w:r>
          </w:p>
        </w:tc>
      </w:tr>
      <w:tr>
        <w:tc>
          <w:tcPr>
            <w:tcW w:type="dxa" w:w="4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Profesionales y emprendedoras</w:t>
            </w:r>
          </w:p>
        </w:tc>
        <w:tc>
          <w:tcPr>
            <w:tcW w:type="dxa" w:w="4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Equipos corporativos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Madrid y principales ciudades hispanohablantes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Expatriados hispanohablantes en Europa</w:t>
            </w:r>
          </w:p>
        </w:tc>
      </w:tr>
      <w:tr>
        <w:tc>
          <w:tcPr>
            <w:tcW w:type="dxa" w:w="4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Interesadas en liderazgo, wellness y crecimiento personal</w:t>
            </w:r>
          </w:p>
        </w:tc>
        <w:tc>
          <w:tcPr>
            <w:tcW w:type="dxa" w:w="4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Empresas que buscan formación experiencial</w:t>
            </w:r>
          </w:p>
        </w:tc>
      </w:tr>
    </w:tbl>
    <w:p>
      <w:pPr>
        <w:pageBreakBefore/>
      </w:pPr>
      <w:r>
        <w:br/>
      </w:r>
    </w:p>
    <w:p>
      <w:pPr>
        <w:pBdr>
          <w:bottom w:val="single" w:color="C9A84C" w:sz="8" w:space="3"/>
        </w:pBdr>
        <w:spacing w:after="120" w:before="360"/>
      </w:pPr>
      <w:r>
        <w:rPr>
          <w:rFonts w:ascii="Arial" w:cs="Arial" w:eastAsia="Arial" w:hAnsi="Arial"/>
          <w:b/>
          <w:bCs/>
          <w:i w:val="false"/>
          <w:iCs w:val="false"/>
          <w:color w:val="0A0A0A"/>
          <w:sz w:val="28"/>
          <w:szCs w:val="28"/>
        </w:rPr>
        <w:t xml:space="preserve">3. Las ponentes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Mariana Verner</w:t>
            </w:r>
          </w:p>
        </w:tc>
        <w:tc>
          <w:tcPr>
            <w:tcW w:type="dxa" w:w="4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Mariana Saldaña</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Human Behavior Specialist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Experta en oratoria y comunicación</w:t>
            </w:r>
          </w:p>
        </w:tc>
      </w:tr>
      <w:tr>
        <w:tc>
          <w:tcPr>
            <w:tcW w:type="dxa" w:w="4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Master en Sinergología</w:t>
            </w:r>
          </w:p>
        </w:tc>
        <w:tc>
          <w:tcPr>
            <w:tcW w:type="dxa" w:w="4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Presencia y poder en público</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Harvard University Certified Coach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Arte de hablar para transformar</w:t>
            </w:r>
          </w:p>
        </w:tc>
      </w:tr>
      <w:tr>
        <w:tc>
          <w:tcPr>
            <w:tcW w:type="dxa" w:w="4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Campeona internacional de fisicoculturismo</w:t>
            </w:r>
          </w:p>
        </w:tc>
        <w:tc>
          <w:tcPr>
            <w:tcW w:type="dxa" w:w="4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Más de 80,000 seguidores en redes</w:t>
            </w:r>
          </w:p>
        </w:tc>
      </w:tr>
      <w:tr>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Más de 20 años transformando líderes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Energía, carisma y autoridad vocal</w:t>
            </w:r>
          </w:p>
        </w:tc>
      </w:tr>
      <w:tr>
        <w:tc>
          <w:tcPr>
            <w:tcW w:type="dxa" w:w="4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Base: Madrid · Alcance: Europa y LATAM</w:t>
            </w:r>
          </w:p>
        </w:tc>
        <w:tc>
          <w:tcPr>
            <w:tcW w:type="dxa" w:w="4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Base: Madrid · Red internacional</w:t>
            </w:r>
          </w:p>
        </w:tc>
      </w:tr>
    </w:tbl>
    <w:p>
      <w:pPr>
        <w:spacing w:after="0" w:before="12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left w:val="single" w:color="C9A84C" w:sz="18"/>
              <w:bottom w:val="none"/>
              <w:right w:val="none"/>
            </w:tcBorders>
            <w:shd w:fill="FDF6E3" w:val="clear"/>
            <w:tcMar>
              <w:top w:type="dxa" w:w="100"/>
              <w:left w:type="dxa" w:w="200"/>
              <w:bottom w:type="dxa" w:w="100"/>
              <w:right w:type="dxa" w:w="120"/>
            </w:tcMar>
          </w:tcPr>
          <w:p>
            <w:pPr>
              <w:spacing w:after="80" w:before="0"/>
              <w:jc w:val="left"/>
            </w:pPr>
            <w:r>
              <w:rPr>
                <w:rFonts w:ascii="Arial" w:cs="Arial" w:eastAsia="Arial" w:hAnsi="Arial"/>
                <w:b w:val="false"/>
                <w:bCs w:val="false"/>
                <w:i/>
                <w:iCs/>
                <w:color w:val="444444"/>
                <w:sz w:val="19"/>
                <w:szCs w:val="19"/>
              </w:rPr>
              <w:t xml:space="preserve">Juntas suman lo que pocas duplas de ponentes logran: la ciencia del cuerpo y el arte de la voz. Una trabaja desde adentro hacia afuera. La otra desde la voz hacia el mundo. El resultado es una experiencia sin precedentes en el mercado hispanohablante.</w:t>
            </w:r>
          </w:p>
        </w:tc>
      </w:tr>
    </w:tbl>
    <w:p>
      <w:pPr>
        <w:pageBreakBefore/>
      </w:pPr>
      <w:r>
        <w:br/>
      </w:r>
    </w:p>
    <w:p>
      <w:pPr>
        <w:pBdr>
          <w:bottom w:val="single" w:color="C9A84C" w:sz="8" w:space="3"/>
        </w:pBdr>
        <w:spacing w:after="120" w:before="360"/>
      </w:pPr>
      <w:r>
        <w:rPr>
          <w:rFonts w:ascii="Arial" w:cs="Arial" w:eastAsia="Arial" w:hAnsi="Arial"/>
          <w:b/>
          <w:bCs/>
          <w:i w:val="false"/>
          <w:iCs w:val="false"/>
          <w:color w:val="0A0A0A"/>
          <w:sz w:val="28"/>
          <w:szCs w:val="28"/>
        </w:rPr>
        <w:t xml:space="preserve">4. Estructura del taller</w:t>
      </w:r>
    </w:p>
    <w:p>
      <w:pPr>
        <w:spacing w:after="100" w:before="0"/>
      </w:pPr>
      <w:r>
        <w:rPr>
          <w:rFonts w:ascii="Arial" w:cs="Arial" w:eastAsia="Arial" w:hAnsi="Arial"/>
          <w:b w:val="false"/>
          <w:bCs w:val="false"/>
          <w:i w:val="false"/>
          <w:iCs w:val="false"/>
          <w:color w:val="333333"/>
          <w:sz w:val="20"/>
          <w:szCs w:val="20"/>
        </w:rPr>
        <w:t xml:space="preserve">El taller de 3 horas está articulado alrededor del Método ÉLITE™ y dividido en cuatro bloques de trabajo:</w:t>
      </w:r>
    </w:p>
    <w:p>
      <w:pPr>
        <w:spacing w:after="0" w:before="8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c>
          <w:tcPr>
            <w:tcW w:type="dxa" w:w="1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Bloque</w:t>
            </w:r>
          </w:p>
        </w:tc>
        <w:tc>
          <w:tcPr>
            <w:tcW w:type="dxa" w:w="24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Título</w:t>
            </w:r>
          </w:p>
        </w:tc>
        <w:tc>
          <w:tcPr>
            <w:tcW w:type="dxa" w:w="5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Contenido</w:t>
            </w:r>
          </w:p>
        </w:tc>
      </w:tr>
      <w:tr>
        <w:tc>
          <w:tcPr>
            <w:tcW w:type="dxa" w:w="12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vAlign w:val="top"/>
          </w:tcPr>
          <w:p>
            <w:pPr>
              <w:spacing w:after="80" w:before="0"/>
              <w:jc w:val="left"/>
            </w:pPr>
            <w:r>
              <w:rPr>
                <w:rFonts w:ascii="Arial" w:cs="Arial" w:eastAsia="Arial" w:hAnsi="Arial"/>
                <w:b/>
                <w:bCs/>
                <w:i w:val="false"/>
                <w:iCs w:val="false"/>
                <w:color w:val="C9A84C"/>
                <w:sz w:val="19"/>
                <w:szCs w:val="19"/>
              </w:rPr>
              <w:t xml:space="preserve">1</w:t>
            </w:r>
          </w:p>
        </w:tc>
        <w:tc>
          <w:tcPr>
            <w:tcW w:type="dxa" w:w="2400"/>
            <w:tcBorders>
              <w:top w:val="single" w:color="CCCCCC" w:sz="1"/>
              <w:left w:val="single" w:color="CCCCCC" w:sz="1"/>
              <w:bottom w:val="single" w:color="CCCCCC" w:sz="1"/>
              <w:right w:val="single" w:color="CCCCCC" w:sz="1"/>
            </w:tcBorders>
            <w:shd w:fill="F5F5F3"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333333"/>
                <w:sz w:val="19"/>
                <w:szCs w:val="19"/>
              </w:rPr>
              <w:t xml:space="preserve">El cuerpo no miente</w:t>
            </w:r>
          </w:p>
        </w:tc>
        <w:tc>
          <w:tcPr>
            <w:tcW w:type="dxa" w:w="5600"/>
            <w:tcBorders>
              <w:top w:val="single" w:color="CCCCCC" w:sz="1"/>
              <w:left w:val="single" w:color="CCCCCC" w:sz="1"/>
              <w:bottom w:val="single" w:color="CCCCCC" w:sz="1"/>
              <w:right w:val="single" w:color="CCCCCC" w:sz="1"/>
            </w:tcBorders>
            <w:shd w:fill="F5F5F3"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333333"/>
                <w:sz w:val="19"/>
                <w:szCs w:val="19"/>
              </w:rPr>
              <w:t xml:space="preserve">Introducción a la comunicación no verbal y la Sinergología. Los participantes descubren qué están proyectando ahora mismo y por qué no coincide con quiénes son por dentro.</w:t>
            </w:r>
          </w:p>
        </w:tc>
      </w:tr>
      <w:tr>
        <w:tc>
          <w:tcPr>
            <w:tcW w:type="dxa" w:w="12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vAlign w:val="top"/>
          </w:tcPr>
          <w:p>
            <w:pPr>
              <w:spacing w:after="80" w:before="0"/>
              <w:jc w:val="left"/>
            </w:pPr>
            <w:r>
              <w:rPr>
                <w:rFonts w:ascii="Arial" w:cs="Arial" w:eastAsia="Arial" w:hAnsi="Arial"/>
                <w:b/>
                <w:bCs/>
                <w:i w:val="false"/>
                <w:iCs w:val="false"/>
                <w:color w:val="C9A84C"/>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333333"/>
                <w:sz w:val="19"/>
                <w:szCs w:val="19"/>
              </w:rPr>
              <w:t xml:space="preserve">El miedo tiene un idioma</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333333"/>
                <w:sz w:val="19"/>
                <w:szCs w:val="19"/>
              </w:rPr>
              <w:t xml:space="preserve">Identificación del patrón que frena a cada participante: cómo se instala en el cuerpo, cómo se refuerza inconscientemente y cómo interrumpirlo desde hoy.</w:t>
            </w:r>
          </w:p>
        </w:tc>
      </w:tr>
      <w:tr>
        <w:tc>
          <w:tcPr>
            <w:tcW w:type="dxa" w:w="12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vAlign w:val="top"/>
          </w:tcPr>
          <w:p>
            <w:pPr>
              <w:spacing w:after="80" w:before="0"/>
              <w:jc w:val="left"/>
            </w:pPr>
            <w:r>
              <w:rPr>
                <w:rFonts w:ascii="Arial" w:cs="Arial" w:eastAsia="Arial" w:hAnsi="Arial"/>
                <w:b/>
                <w:bCs/>
                <w:i w:val="false"/>
                <w:iCs w:val="false"/>
                <w:color w:val="C9A84C"/>
                <w:sz w:val="19"/>
                <w:szCs w:val="19"/>
              </w:rPr>
              <w:t xml:space="preserve">3</w:t>
            </w:r>
          </w:p>
        </w:tc>
        <w:tc>
          <w:tcPr>
            <w:tcW w:type="dxa" w:w="2400"/>
            <w:tcBorders>
              <w:top w:val="single" w:color="CCCCCC" w:sz="1"/>
              <w:left w:val="single" w:color="CCCCCC" w:sz="1"/>
              <w:bottom w:val="single" w:color="CCCCCC" w:sz="1"/>
              <w:right w:val="single" w:color="CCCCCC" w:sz="1"/>
            </w:tcBorders>
            <w:shd w:fill="F5F5F3"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333333"/>
                <w:sz w:val="19"/>
                <w:szCs w:val="19"/>
              </w:rPr>
              <w:t xml:space="preserve">Tu voz tiene poder</w:t>
            </w:r>
          </w:p>
        </w:tc>
        <w:tc>
          <w:tcPr>
            <w:tcW w:type="dxa" w:w="5600"/>
            <w:tcBorders>
              <w:top w:val="single" w:color="CCCCCC" w:sz="1"/>
              <w:left w:val="single" w:color="CCCCCC" w:sz="1"/>
              <w:bottom w:val="single" w:color="CCCCCC" w:sz="1"/>
              <w:right w:val="single" w:color="CCCCCC" w:sz="1"/>
            </w:tcBorders>
            <w:shd w:fill="F5F5F3"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333333"/>
                <w:sz w:val="19"/>
                <w:szCs w:val="19"/>
              </w:rPr>
              <w:t xml:space="preserve">Trabajo práctico de oratoria y presencia vocal. Cómo ocupar el espacio con la voz. Cómo hablar para que te escuchen antes de terminar la primera frase.</w:t>
            </w:r>
          </w:p>
        </w:tc>
      </w:tr>
      <w:tr>
        <w:tc>
          <w:tcPr>
            <w:tcW w:type="dxa" w:w="12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vAlign w:val="top"/>
          </w:tcPr>
          <w:p>
            <w:pPr>
              <w:spacing w:after="80" w:before="0"/>
              <w:jc w:val="left"/>
            </w:pPr>
            <w:r>
              <w:rPr>
                <w:rFonts w:ascii="Arial" w:cs="Arial" w:eastAsia="Arial" w:hAnsi="Arial"/>
                <w:b/>
                <w:bCs/>
                <w:i w:val="false"/>
                <w:iCs w:val="false"/>
                <w:color w:val="C9A84C"/>
                <w:sz w:val="19"/>
                <w:szCs w:val="19"/>
              </w:rPr>
              <w:t xml:space="preserve">Cierre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333333"/>
                <w:sz w:val="19"/>
                <w:szCs w:val="19"/>
              </w:rPr>
              <w:t xml:space="preserve">La versión que nunca más vas a ocultar</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333333"/>
                <w:sz w:val="19"/>
                <w:szCs w:val="19"/>
              </w:rPr>
              <w:t xml:space="preserve">Integración del Método ÉLITE™ y compromiso personal. Cada participante sale con un mapa claro de quién es, cómo se presenta y qué va a hacer diferente desde mañana.</w:t>
            </w:r>
          </w:p>
        </w:tc>
      </w:tr>
    </w:tbl>
    <w:p>
      <w:pPr>
        <w:pageBreakBefore/>
      </w:pPr>
      <w:r>
        <w:br/>
      </w:r>
    </w:p>
    <w:p>
      <w:pPr>
        <w:pBdr>
          <w:bottom w:val="single" w:color="C9A84C" w:sz="8" w:space="3"/>
        </w:pBdr>
        <w:spacing w:after="120" w:before="360"/>
      </w:pPr>
      <w:r>
        <w:rPr>
          <w:rFonts w:ascii="Arial" w:cs="Arial" w:eastAsia="Arial" w:hAnsi="Arial"/>
          <w:b/>
          <w:bCs/>
          <w:i w:val="false"/>
          <w:iCs w:val="false"/>
          <w:color w:val="0A0A0A"/>
          <w:sz w:val="28"/>
          <w:szCs w:val="28"/>
        </w:rPr>
        <w:t xml:space="preserve">5. Estrategia de lanzamiento</w:t>
      </w:r>
    </w:p>
    <w:p>
      <w:pPr>
        <w:spacing w:after="80" w:before="280"/>
      </w:pPr>
      <w:r>
        <w:rPr>
          <w:rFonts w:ascii="Arial" w:cs="Arial" w:eastAsia="Arial" w:hAnsi="Arial"/>
          <w:b/>
          <w:bCs/>
          <w:i w:val="false"/>
          <w:iCs w:val="false"/>
          <w:color w:val="444444"/>
          <w:sz w:val="22"/>
          <w:szCs w:val="22"/>
        </w:rPr>
        <w:t xml:space="preserve">5.1 Canales de comunicación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Canal</w:t>
            </w:r>
          </w:p>
        </w:tc>
        <w:tc>
          <w:tcPr>
            <w:tcW w:type="dxa" w:w="54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Uso estratégico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Instagram @marianaverneroficial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Contenido de autoridad, behind the scenes, reels de impacto emocional</w:t>
            </w:r>
          </w:p>
        </w:tc>
      </w:tr>
      <w:tr>
        <w:tc>
          <w:tcPr>
            <w:tcW w:type="dxa" w:w="3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Instagram co-ponente</w:t>
            </w:r>
          </w:p>
        </w:tc>
        <w:tc>
          <w:tcPr>
            <w:tcW w:type="dxa" w:w="5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Oratoria, voz, poder en público — audiencia complementaria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Email marketing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Secuencia de 5 emails: dolor → método → ponentes → precio → urgencia</w:t>
            </w:r>
          </w:p>
        </w:tc>
      </w:tr>
      <w:tr>
        <w:tc>
          <w:tcPr>
            <w:tcW w:type="dxa" w:w="3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WhatsApp / comunidades</w:t>
            </w:r>
          </w:p>
        </w:tc>
        <w:tc>
          <w:tcPr>
            <w:tcW w:type="dxa" w:w="5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Cierre de ventas 1:1 y grupos de alumni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Relaciones públicas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Notas de prensa en medios de wellness, liderazgo femenino y emprendimiento</w:t>
            </w:r>
          </w:p>
        </w:tc>
      </w:tr>
      <w:tr>
        <w:tc>
          <w:tcPr>
            <w:tcW w:type="dxa" w:w="3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LinkedIn</w:t>
            </w:r>
          </w:p>
        </w:tc>
        <w:tc>
          <w:tcPr>
            <w:tcW w:type="dxa" w:w="5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Posicionamiento corporativo y captación de empresa como cliente</w:t>
            </w:r>
          </w:p>
        </w:tc>
      </w:tr>
    </w:tbl>
    <w:p>
      <w:pPr>
        <w:spacing w:after="0" w:before="120"/>
      </w:pPr>
      <w:r>
        <w:rPr>
          <w:rFonts w:ascii="Arial" w:cs="Arial" w:eastAsia="Arial" w:hAnsi="Arial"/>
          <w:b w:val="false"/>
          <w:bCs w:val="false"/>
          <w:i w:val="false"/>
          <w:iCs w:val="false"/>
          <w:color w:val="0A0A0A"/>
          <w:sz w:val="20"/>
          <w:szCs w:val="20"/>
        </w:rPr>
        <w:t xml:space="preserve"/>
      </w:r>
    </w:p>
    <w:p>
      <w:pPr>
        <w:spacing w:after="80" w:before="280"/>
      </w:pPr>
      <w:r>
        <w:rPr>
          <w:rFonts w:ascii="Arial" w:cs="Arial" w:eastAsia="Arial" w:hAnsi="Arial"/>
          <w:b/>
          <w:bCs/>
          <w:i w:val="false"/>
          <w:iCs w:val="false"/>
          <w:color w:val="444444"/>
          <w:sz w:val="22"/>
          <w:szCs w:val="22"/>
        </w:rPr>
        <w:t xml:space="preserve">5.2 Estrategia de contenido (8 semanas previas)</w:t>
      </w:r>
    </w:p>
    <w:p>
      <w:pPr>
        <w:spacing w:after="100" w:before="0"/>
      </w:pPr>
      <w:r>
        <w:rPr>
          <w:rFonts w:ascii="Arial" w:cs="Arial" w:eastAsia="Arial" w:hAnsi="Arial"/>
          <w:b w:val="false"/>
          <w:bCs w:val="false"/>
          <w:i w:val="false"/>
          <w:iCs w:val="false"/>
          <w:color w:val="333333"/>
          <w:sz w:val="20"/>
          <w:szCs w:val="20"/>
        </w:rPr>
        <w:t xml:space="preserve">El plan de contenido se divide en tres fases, cada una con un objetivo distinto:</w:t>
      </w:r>
    </w:p>
    <w:p>
      <w:pPr>
        <w:spacing w:after="0" w:before="8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Fase</w:t>
            </w:r>
          </w:p>
        </w:tc>
        <w:tc>
          <w:tcPr>
            <w:tcW w:type="dxa" w:w="7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Objetivo y tipo de contenido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Semanas 1–2: Activación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Despertar el dolor. Preguntas que paran el scroll. Stories con encuestas. Reels cortos sobre lenguaje corporal.</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Semanas 3–5: Autoridad</w:t>
            </w:r>
          </w:p>
        </w:tc>
        <w:tc>
          <w:tcPr>
            <w:tcW w:type="dxa" w:w="7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Demostrar el método. Videos explicando la Sinergología. Casos de transformación. Frases del Método ÉLITE™. Presentación de las ponentes juntas.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Semanas 6–8: Urgencia</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Activar la compra. Cuenta regresiva. Testimonios si ya hay preventa. Recordatorio de plazas limitadas. CTA directo al link de reserva.</w:t>
            </w:r>
          </w:p>
        </w:tc>
      </w:tr>
    </w:tbl>
    <w:p>
      <w:pPr>
        <w:spacing w:after="0" w:before="120"/>
      </w:pPr>
      <w:r>
        <w:rPr>
          <w:rFonts w:ascii="Arial" w:cs="Arial" w:eastAsia="Arial" w:hAnsi="Arial"/>
          <w:b w:val="false"/>
          <w:bCs w:val="false"/>
          <w:i w:val="false"/>
          <w:iCs w:val="false"/>
          <w:color w:val="0A0A0A"/>
          <w:sz w:val="20"/>
          <w:szCs w:val="20"/>
        </w:rPr>
        <w:t xml:space="preserve"/>
      </w:r>
    </w:p>
    <w:p>
      <w:pPr>
        <w:spacing w:after="80" w:before="280"/>
      </w:pPr>
      <w:r>
        <w:rPr>
          <w:rFonts w:ascii="Arial" w:cs="Arial" w:eastAsia="Arial" w:hAnsi="Arial"/>
          <w:b/>
          <w:bCs/>
          <w:i w:val="false"/>
          <w:iCs w:val="false"/>
          <w:color w:val="444444"/>
          <w:sz w:val="22"/>
          <w:szCs w:val="22"/>
        </w:rPr>
        <w:t xml:space="preserve">5.3 Precio y estructura de venta</w:t>
      </w:r>
    </w:p>
    <w:p>
      <w:pPr>
        <w:pStyle w:val="ListParagraph"/>
        <w:numPr>
          <w:ilvl w:val="0"/>
          <w:numId w:val="2"/>
        </w:numPr>
        <w:spacing w:after="40" w:before="40"/>
      </w:pPr>
      <w:r>
        <w:rPr>
          <w:rFonts w:ascii="Arial" w:cs="Arial" w:eastAsia="Arial" w:hAnsi="Arial"/>
          <w:b w:val="false"/>
          <w:bCs w:val="false"/>
          <w:i w:val="false"/>
          <w:iCs w:val="false"/>
          <w:color w:val="333333"/>
          <w:sz w:val="19"/>
          <w:szCs w:val="19"/>
        </w:rPr>
        <w:t xml:space="preserve">Precio total del taller: 78€ por persona (IVA incluido)</w:t>
      </w:r>
    </w:p>
    <w:p>
      <w:pPr>
        <w:pStyle w:val="ListParagraph"/>
        <w:numPr>
          <w:ilvl w:val="0"/>
          <w:numId w:val="2"/>
        </w:numPr>
        <w:spacing w:after="40" w:before="40"/>
      </w:pPr>
      <w:r>
        <w:rPr>
          <w:rFonts w:ascii="Arial" w:cs="Arial" w:eastAsia="Arial" w:hAnsi="Arial"/>
          <w:b w:val="false"/>
          <w:bCs w:val="false"/>
          <w:i w:val="false"/>
          <w:iCs w:val="false"/>
          <w:color w:val="333333"/>
          <w:sz w:val="19"/>
          <w:szCs w:val="19"/>
        </w:rPr>
        <w:t xml:space="preserve">Reserva de plaza: 20€ — asegura el lugar sin pagar el total</w:t>
      </w:r>
    </w:p>
    <w:p>
      <w:pPr>
        <w:pStyle w:val="ListParagraph"/>
        <w:numPr>
          <w:ilvl w:val="0"/>
          <w:numId w:val="2"/>
        </w:numPr>
        <w:spacing w:after="40" w:before="40"/>
      </w:pPr>
      <w:r>
        <w:rPr>
          <w:rFonts w:ascii="Arial" w:cs="Arial" w:eastAsia="Arial" w:hAnsi="Arial"/>
          <w:b w:val="false"/>
          <w:bCs w:val="false"/>
          <w:i w:val="false"/>
          <w:iCs w:val="false"/>
          <w:color w:val="333333"/>
          <w:sz w:val="19"/>
          <w:szCs w:val="19"/>
        </w:rPr>
        <w:t xml:space="preserve">Saldo restante: 58€ — se paga antes del evento</w:t>
      </w:r>
    </w:p>
    <w:p>
      <w:pPr>
        <w:pStyle w:val="ListParagraph"/>
        <w:numPr>
          <w:ilvl w:val="0"/>
          <w:numId w:val="2"/>
        </w:numPr>
        <w:spacing w:after="40" w:before="40"/>
      </w:pPr>
      <w:r>
        <w:rPr>
          <w:rFonts w:ascii="Arial" w:cs="Arial" w:eastAsia="Arial" w:hAnsi="Arial"/>
          <w:b w:val="false"/>
          <w:bCs w:val="false"/>
          <w:i w:val="false"/>
          <w:iCs w:val="false"/>
          <w:color w:val="333333"/>
          <w:sz w:val="19"/>
          <w:szCs w:val="19"/>
        </w:rPr>
        <w:t xml:space="preserve">Política de cancelación: devolución del depósito con más de 72h de antelación</w:t>
      </w:r>
    </w:p>
    <w:p>
      <w:pPr>
        <w:pStyle w:val="ListParagraph"/>
        <w:numPr>
          <w:ilvl w:val="0"/>
          <w:numId w:val="2"/>
        </w:numPr>
        <w:spacing w:after="40" w:before="40"/>
      </w:pPr>
      <w:r>
        <w:rPr>
          <w:rFonts w:ascii="Arial" w:cs="Arial" w:eastAsia="Arial" w:hAnsi="Arial"/>
          <w:b w:val="false"/>
          <w:bCs w:val="false"/>
          <w:i w:val="false"/>
          <w:iCs w:val="false"/>
          <w:color w:val="333333"/>
          <w:sz w:val="19"/>
          <w:szCs w:val="19"/>
        </w:rPr>
        <w:t xml:space="preserve">Plataforma de ticketing: Eventbrite o Weezevent (por definir)</w:t>
      </w:r>
    </w:p>
    <w:p>
      <w:pPr>
        <w:pageBreakBefore/>
      </w:pPr>
      <w:r>
        <w:br/>
      </w:r>
    </w:p>
    <w:p>
      <w:pPr>
        <w:pBdr>
          <w:bottom w:val="single" w:color="C9A84C" w:sz="8" w:space="3"/>
        </w:pBdr>
        <w:spacing w:after="120" w:before="360"/>
      </w:pPr>
      <w:r>
        <w:rPr>
          <w:rFonts w:ascii="Arial" w:cs="Arial" w:eastAsia="Arial" w:hAnsi="Arial"/>
          <w:b/>
          <w:bCs/>
          <w:i w:val="false"/>
          <w:iCs w:val="false"/>
          <w:color w:val="0A0A0A"/>
          <w:sz w:val="28"/>
          <w:szCs w:val="28"/>
        </w:rPr>
        <w:t xml:space="preserve">6. Línea de tiempo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left w:val="none"/>
              <w:bottom w:val="none"/>
              <w:right w:val="none"/>
            </w:tcBorders>
            <w:shd w:fill="0A0A0A" w:val="clear"/>
            <w:tcMar>
              <w:top w:type="dxa" w:w="100"/>
              <w:left w:type="dxa" w:w="200"/>
              <w:bottom w:type="dxa" w:w="100"/>
              <w:right w:type="dxa" w:w="120"/>
            </w:tcMar>
          </w:tcPr>
          <w:p>
            <w:pPr>
              <w:spacing w:after="80" w:before="0"/>
              <w:jc w:val="left"/>
            </w:pPr>
            <w:r>
              <w:rPr>
                <w:rFonts w:ascii="Arial" w:cs="Arial" w:eastAsia="Arial" w:hAnsi="Arial"/>
                <w:b/>
                <w:bCs/>
                <w:i w:val="false"/>
                <w:iCs w:val="false"/>
                <w:color w:val="C9A84C"/>
                <w:sz w:val="20"/>
                <w:szCs w:val="20"/>
              </w:rPr>
              <w:t xml:space="preserve">ESPAÑA 2025 — TEMPORADA DE LANZAMIENTO</w:t>
            </w:r>
          </w:p>
        </w:tc>
      </w:tr>
    </w:tbl>
    <w:p>
      <w:pPr>
        <w:spacing w:after="0" w:before="6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600"/>
      </w:tblGrid>
      <w:tr>
        <w:tc>
          <w:tcPr>
            <w:tcW w:type="dxa" w:w="14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Cuándo</w:t>
            </w:r>
          </w:p>
        </w:tc>
        <w:tc>
          <w:tcPr>
            <w:tcW w:type="dxa" w:w="2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Hito</w:t>
            </w:r>
          </w:p>
        </w:tc>
        <w:tc>
          <w:tcPr>
            <w:tcW w:type="dxa" w:w="5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Acciones clave</w:t>
            </w:r>
          </w:p>
        </w:tc>
      </w:tr>
      <w:tr>
        <w:tc>
          <w:tcPr>
            <w:tcW w:type="dxa" w:w="14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May 2025</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Reactivación ∞ SL</w:t>
            </w:r>
          </w:p>
        </w:tc>
        <w:tc>
          <w:tcPr>
            <w:tcW w:type="dxa" w:w="56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Modelo 036 AEAT · CIF activo · Cuenta bancaria operativa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Jun 2025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Contratos y legal</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Contrato entre ponentes · Seguro RC · Política RGPD · Objeto social verificado</w:t>
            </w:r>
          </w:p>
        </w:tc>
      </w:tr>
      <w:tr>
        <w:tc>
          <w:tcPr>
            <w:tcW w:type="dxa" w:w="14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Jun 2025</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Configuración fiscal</w:t>
            </w:r>
          </w:p>
        </w:tc>
        <w:tc>
          <w:tcPr>
            <w:tcW w:type="dxa" w:w="56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IVA definido · Plataforma de ticketing configurada · Precios publicados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Jul 2025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Producción del taller</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Estructura del contenido · Materiales · Dinámica de los 4 bloques</w:t>
            </w:r>
          </w:p>
        </w:tc>
      </w:tr>
      <w:tr>
        <w:tc>
          <w:tcPr>
            <w:tcW w:type="dxa" w:w="14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Ago 2025</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Lanzamiento digital</w:t>
            </w:r>
          </w:p>
        </w:tc>
        <w:tc>
          <w:tcPr>
            <w:tcW w:type="dxa" w:w="56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Landing page live · Instagram activado · Email marketing · Apertura de reservas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Sep 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Sprint de venta final</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Contenido de urgencia · Recordatorios · Cierre de lista de espera</w:t>
            </w:r>
          </w:p>
        </w:tc>
      </w:tr>
      <w:tr>
        <w:tc>
          <w:tcPr>
            <w:tcW w:type="dxa" w:w="14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24 Sep</w:t>
            </w:r>
          </w:p>
        </w:tc>
        <w:tc>
          <w:tcPr>
            <w:tcW w:type="dxa" w:w="22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 EVENTO 1 — Madrid</w:t>
            </w:r>
          </w:p>
        </w:tc>
        <w:tc>
          <w:tcPr>
            <w:tcW w:type="dxa" w:w="56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Primer taller Cree en ti · Recoger testimonios · Fotografía y video</w:t>
            </w:r>
          </w:p>
        </w:tc>
      </w:tr>
      <w:tr>
        <w:tc>
          <w:tcPr>
            <w:tcW w:type="dxa" w:w="14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26 Oct</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 EVENTO 2 — Madrid</w:t>
            </w:r>
          </w:p>
        </w:tc>
        <w:tc>
          <w:tcPr>
            <w:tcW w:type="dxa" w:w="56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Segunda edición · Mejoras post-evento 1 · Apertura lista evento 3</w:t>
            </w:r>
          </w:p>
        </w:tc>
      </w:tr>
      <w:tr>
        <w:tc>
          <w:tcPr>
            <w:tcW w:type="dxa" w:w="14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26 Nov</w:t>
            </w:r>
          </w:p>
        </w:tc>
        <w:tc>
          <w:tcPr>
            <w:tcW w:type="dxa" w:w="22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 EVENTO 3 — Madrid</w:t>
            </w:r>
          </w:p>
        </w:tc>
        <w:tc>
          <w:tcPr>
            <w:tcW w:type="dxa" w:w="56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Tercera edición · Cierre temporada Madrid · Balance y ajustes para LATAM</w:t>
            </w:r>
          </w:p>
        </w:tc>
      </w:tr>
    </w:tbl>
    <w:p>
      <w:pPr>
        <w:spacing w:after="0" w:before="20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left w:val="none"/>
              <w:bottom w:val="none"/>
              <w:right w:val="none"/>
            </w:tcBorders>
            <w:shd w:fill="0A0A0A" w:val="clear"/>
            <w:tcMar>
              <w:top w:type="dxa" w:w="100"/>
              <w:left w:type="dxa" w:w="200"/>
              <w:bottom w:type="dxa" w:w="100"/>
              <w:right w:type="dxa" w:w="120"/>
            </w:tcMar>
          </w:tcPr>
          <w:p>
            <w:pPr>
              <w:spacing w:after="80" w:before="0"/>
              <w:jc w:val="left"/>
            </w:pPr>
            <w:r>
              <w:rPr>
                <w:rFonts w:ascii="Arial" w:cs="Arial" w:eastAsia="Arial" w:hAnsi="Arial"/>
                <w:b/>
                <w:bCs/>
                <w:i w:val="false"/>
                <w:iCs w:val="false"/>
                <w:color w:val="C9A84C"/>
                <w:sz w:val="20"/>
                <w:szCs w:val="20"/>
              </w:rPr>
              <w:t xml:space="preserve">AMÉRICA LATINA 2026 — PRIMERA GIRA INTERNACIONAL</w:t>
            </w:r>
          </w:p>
        </w:tc>
      </w:tr>
    </w:tbl>
    <w:p>
      <w:pPr>
        <w:spacing w:after="0" w:before="6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600"/>
      </w:tblGrid>
      <w:tr>
        <w:tc>
          <w:tcPr>
            <w:tcW w:type="dxa" w:w="14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Cuándo</w:t>
            </w:r>
          </w:p>
        </w:tc>
        <w:tc>
          <w:tcPr>
            <w:tcW w:type="dxa" w:w="2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Hito</w:t>
            </w:r>
          </w:p>
        </w:tc>
        <w:tc>
          <w:tcPr>
            <w:tcW w:type="dxa" w:w="5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Acciones clave</w:t>
            </w:r>
          </w:p>
        </w:tc>
      </w:tr>
      <w:tr>
        <w:tc>
          <w:tcPr>
            <w:tcW w:type="dxa" w:w="1400"/>
            <w:tcBorders>
              <w:top w:val="single" w:color="CCCCCC" w:sz="1"/>
              <w:left w:val="single" w:color="CCCCCC" w:sz="1"/>
              <w:bottom w:val="single" w:color="CCCCCC" w:sz="1"/>
              <w:right w:val="single" w:color="CCCCCC" w:sz="1"/>
            </w:tcBorders>
            <w:shd w:fill="EEF3FD"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Oct 2025</w:t>
            </w:r>
          </w:p>
        </w:tc>
        <w:tc>
          <w:tcPr>
            <w:tcW w:type="dxa" w:w="2200"/>
            <w:tcBorders>
              <w:top w:val="single" w:color="CCCCCC" w:sz="1"/>
              <w:left w:val="single" w:color="CCCCCC" w:sz="1"/>
              <w:bottom w:val="single" w:color="CCCCCC" w:sz="1"/>
              <w:right w:val="single" w:color="CCCCCC" w:sz="1"/>
            </w:tcBorders>
            <w:shd w:fill="EEF3FD"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Preparación LATAM</w:t>
            </w:r>
          </w:p>
        </w:tc>
        <w:tc>
          <w:tcPr>
            <w:tcW w:type="dxa" w:w="5600"/>
            <w:tcBorders>
              <w:top w:val="single" w:color="CCCCCC" w:sz="1"/>
              <w:left w:val="single" w:color="CCCCCC" w:sz="1"/>
              <w:bottom w:val="single" w:color="CCCCCC" w:sz="1"/>
              <w:right w:val="single" w:color="CCCCCC" w:sz="1"/>
            </w:tcBorders>
            <w:shd w:fill="EEF3FD"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Asesor fiscal México · Logística · Venues · Aliados locales</w:t>
            </w:r>
          </w:p>
        </w:tc>
      </w:tr>
      <w:tr>
        <w:tc>
          <w:tcPr>
            <w:tcW w:type="dxa" w:w="1400"/>
            <w:tcBorders>
              <w:top w:val="single" w:color="CCCCCC" w:sz="1"/>
              <w:left w:val="single" w:color="CCCCCC" w:sz="1"/>
              <w:bottom w:val="single" w:color="CCCCCC" w:sz="1"/>
              <w:right w:val="single" w:color="CCCCCC" w:sz="1"/>
            </w:tcBorders>
            <w:shd w:fill="EEF3FD"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Nov 2025</w:t>
            </w:r>
          </w:p>
        </w:tc>
        <w:tc>
          <w:tcPr>
            <w:tcW w:type="dxa" w:w="2200"/>
            <w:tcBorders>
              <w:top w:val="single" w:color="CCCCCC" w:sz="1"/>
              <w:left w:val="single" w:color="CCCCCC" w:sz="1"/>
              <w:bottom w:val="single" w:color="CCCCCC" w:sz="1"/>
              <w:right w:val="single" w:color="CCCCCC" w:sz="1"/>
            </w:tcBorders>
            <w:shd w:fill="EEF3FD"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Preventa LATAM</w:t>
            </w:r>
          </w:p>
        </w:tc>
        <w:tc>
          <w:tcPr>
            <w:tcW w:type="dxa" w:w="5600"/>
            <w:tcBorders>
              <w:top w:val="single" w:color="CCCCCC" w:sz="1"/>
              <w:left w:val="single" w:color="CCCCCC" w:sz="1"/>
              <w:bottom w:val="single" w:color="CCCCCC" w:sz="1"/>
              <w:right w:val="single" w:color="CCCCCC" w:sz="1"/>
            </w:tcBorders>
            <w:shd w:fill="EEF3FD"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Apertura de reservas México · Campaña digital dirigida a CDMX, Cancún, Mérida</w:t>
            </w:r>
          </w:p>
        </w:tc>
      </w:tr>
      <w:tr>
        <w:tc>
          <w:tcPr>
            <w:tcW w:type="dxa" w:w="14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Ene 2026</w:t>
            </w:r>
          </w:p>
        </w:tc>
        <w:tc>
          <w:tcPr>
            <w:tcW w:type="dxa" w:w="22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 EVENTO 4 — Ciudad de México</w:t>
            </w:r>
          </w:p>
        </w:tc>
        <w:tc>
          <w:tcPr>
            <w:tcW w:type="dxa" w:w="56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Primera edición internacional · Adaptación cultural del taller</w:t>
            </w:r>
          </w:p>
        </w:tc>
      </w:tr>
      <w:tr>
        <w:tc>
          <w:tcPr>
            <w:tcW w:type="dxa" w:w="1400"/>
            <w:tcBorders>
              <w:top w:val="single" w:color="CCCCCC" w:sz="1"/>
              <w:left w:val="single" w:color="CCCCCC" w:sz="1"/>
              <w:bottom w:val="single" w:color="CCCCCC" w:sz="1"/>
              <w:right w:val="single" w:color="CCCCCC" w:sz="1"/>
            </w:tcBorders>
            <w:shd w:fill="EEF3FD"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Feb 2026</w:t>
            </w:r>
          </w:p>
        </w:tc>
        <w:tc>
          <w:tcPr>
            <w:tcW w:type="dxa" w:w="2200"/>
            <w:tcBorders>
              <w:top w:val="single" w:color="CCCCCC" w:sz="1"/>
              <w:left w:val="single" w:color="CCCCCC" w:sz="1"/>
              <w:bottom w:val="single" w:color="CCCCCC" w:sz="1"/>
              <w:right w:val="single" w:color="CCCCCC" w:sz="1"/>
            </w:tcBorders>
            <w:shd w:fill="EEF3FD"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 EVENTO 5 — Cancún</w:t>
            </w:r>
          </w:p>
        </w:tc>
        <w:tc>
          <w:tcPr>
            <w:tcW w:type="dxa" w:w="5600"/>
            <w:tcBorders>
              <w:top w:val="single" w:color="CCCCCC" w:sz="1"/>
              <w:left w:val="single" w:color="CCCCCC" w:sz="1"/>
              <w:bottom w:val="single" w:color="CCCCCC" w:sz="1"/>
              <w:right w:val="single" w:color="CCCCCC" w:sz="1"/>
            </w:tcBorders>
            <w:shd w:fill="EEF3FD"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Segunda parada México · Perfil vacacional y emprendedor</w:t>
            </w:r>
          </w:p>
        </w:tc>
      </w:tr>
      <w:tr>
        <w:tc>
          <w:tcPr>
            <w:tcW w:type="dxa" w:w="14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Feb 2026</w:t>
            </w:r>
          </w:p>
        </w:tc>
        <w:tc>
          <w:tcPr>
            <w:tcW w:type="dxa" w:w="22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 EVENTO 6 — Mérida</w:t>
            </w:r>
          </w:p>
        </w:tc>
        <w:tc>
          <w:tcPr>
            <w:tcW w:type="dxa" w:w="5600"/>
            <w:tcBorders>
              <w:top w:val="single" w:color="CCCCCC" w:sz="1"/>
              <w:left w:val="single" w:color="CCCCCC" w:sz="1"/>
              <w:bottom w:val="single" w:color="CCCCCC" w:sz="1"/>
              <w:right w:val="single" w:color="CCCCCC" w:sz="1"/>
            </w:tcBorders>
            <w:shd w:fill="EAF4EE"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Tercera parada · Cierre primera gira LATAM · Evaluación de expansión</w:t>
            </w:r>
          </w:p>
        </w:tc>
      </w:tr>
    </w:tbl>
    <w:p>
      <w:pPr>
        <w:spacing w:after="0" w:before="20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left w:val="none"/>
              <w:bottom w:val="none"/>
              <w:right w:val="none"/>
            </w:tcBorders>
            <w:shd w:fill="0A0A0A" w:val="clear"/>
            <w:tcMar>
              <w:top w:type="dxa" w:w="100"/>
              <w:left w:type="dxa" w:w="200"/>
              <w:bottom w:type="dxa" w:w="100"/>
              <w:right w:type="dxa" w:w="120"/>
            </w:tcMar>
          </w:tcPr>
          <w:p>
            <w:pPr>
              <w:spacing w:after="80" w:before="0"/>
              <w:jc w:val="left"/>
            </w:pPr>
            <w:r>
              <w:rPr>
                <w:rFonts w:ascii="Arial" w:cs="Arial" w:eastAsia="Arial" w:hAnsi="Arial"/>
                <w:b/>
                <w:bCs/>
                <w:i w:val="false"/>
                <w:iCs w:val="false"/>
                <w:color w:val="C9A84C"/>
                <w:sz w:val="20"/>
                <w:szCs w:val="20"/>
              </w:rPr>
              <w:t xml:space="preserve">ESPAÑA 2027 — EXPANSIÓN NACIONAL</w:t>
            </w:r>
          </w:p>
        </w:tc>
      </w:tr>
    </w:tbl>
    <w:p>
      <w:pPr>
        <w:spacing w:after="0" w:before="6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600"/>
      </w:tblGrid>
      <w:tr>
        <w:tc>
          <w:tcPr>
            <w:tcW w:type="dxa" w:w="14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Cuándo</w:t>
            </w:r>
          </w:p>
        </w:tc>
        <w:tc>
          <w:tcPr>
            <w:tcW w:type="dxa" w:w="2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Hito</w:t>
            </w:r>
          </w:p>
        </w:tc>
        <w:tc>
          <w:tcPr>
            <w:tcW w:type="dxa" w:w="5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Acciones clave</w:t>
            </w:r>
          </w:p>
        </w:tc>
      </w:tr>
      <w:tr>
        <w:tc>
          <w:tcPr>
            <w:tcW w:type="dxa" w:w="14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2027</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Ibiza</w:t>
            </w:r>
          </w:p>
        </w:tc>
        <w:tc>
          <w:tcPr>
            <w:tcW w:type="dxa" w:w="56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Mercado premium · Perfil internacional y de alto poder adquisitivo</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2027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Cádiz</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Sur de España · Comunidad emprendedora y creativa</w:t>
            </w:r>
          </w:p>
        </w:tc>
      </w:tr>
      <w:tr>
        <w:tc>
          <w:tcPr>
            <w:tcW w:type="dxa" w:w="14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2027</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Valencia</w:t>
            </w:r>
          </w:p>
        </w:tc>
        <w:tc>
          <w:tcPr>
            <w:tcW w:type="dxa" w:w="560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Levante · Gran mercado de profesionales y líderes de empresa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C9A84C"/>
                <w:sz w:val="18"/>
                <w:szCs w:val="18"/>
              </w:rPr>
              <w:t xml:space="preserve">2027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top"/>
          </w:tcPr>
          <w:p>
            <w:pPr>
              <w:spacing w:after="80" w:before="0"/>
              <w:jc w:val="left"/>
            </w:pPr>
            <w:r>
              <w:rPr>
                <w:rFonts w:ascii="Arial" w:cs="Arial" w:eastAsia="Arial" w:hAnsi="Arial"/>
                <w:b/>
                <w:bCs/>
                <w:i w:val="false"/>
                <w:iCs w:val="false"/>
                <w:color w:val="0A0A0A"/>
                <w:sz w:val="19"/>
                <w:szCs w:val="19"/>
              </w:rPr>
              <w:t xml:space="preserve">Bilbao</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jc w:val="left"/>
            </w:pPr>
            <w:r>
              <w:rPr>
                <w:rFonts w:ascii="Arial" w:cs="Arial" w:eastAsia="Arial" w:hAnsi="Arial"/>
                <w:b w:val="false"/>
                <w:bCs w:val="false"/>
                <w:i w:val="false"/>
                <w:iCs w:val="false"/>
                <w:color w:val="444444"/>
                <w:sz w:val="18"/>
                <w:szCs w:val="18"/>
              </w:rPr>
              <w:t xml:space="preserve">Norte de España · Perfil ejecutivo y corporativo</w:t>
            </w:r>
          </w:p>
        </w:tc>
      </w:tr>
    </w:tbl>
    <w:p>
      <w:pPr>
        <w:pageBreakBefore/>
      </w:pPr>
      <w:r>
        <w:br/>
      </w:r>
    </w:p>
    <w:p>
      <w:pPr>
        <w:pBdr>
          <w:bottom w:val="single" w:color="C9A84C" w:sz="8" w:space="3"/>
        </w:pBdr>
        <w:spacing w:after="120" w:before="360"/>
      </w:pPr>
      <w:r>
        <w:rPr>
          <w:rFonts w:ascii="Arial" w:cs="Arial" w:eastAsia="Arial" w:hAnsi="Arial"/>
          <w:b/>
          <w:bCs/>
          <w:i w:val="false"/>
          <w:iCs w:val="false"/>
          <w:color w:val="0A0A0A"/>
          <w:sz w:val="28"/>
          <w:szCs w:val="28"/>
        </w:rPr>
        <w:t xml:space="preserve">7. Indicadores de éxito</w:t>
      </w:r>
    </w:p>
    <w:p>
      <w:pPr>
        <w:spacing w:after="100" w:before="0"/>
      </w:pPr>
      <w:r>
        <w:rPr>
          <w:rFonts w:ascii="Arial" w:cs="Arial" w:eastAsia="Arial" w:hAnsi="Arial"/>
          <w:b w:val="false"/>
          <w:bCs w:val="false"/>
          <w:i w:val="false"/>
          <w:iCs w:val="false"/>
          <w:color w:val="333333"/>
          <w:sz w:val="20"/>
          <w:szCs w:val="20"/>
        </w:rPr>
        <w:t xml:space="preserve">El plan se evalúa con los siguientes KPIs por evento y por temporada:</w:t>
      </w:r>
    </w:p>
    <w:p>
      <w:pPr>
        <w:spacing w:after="0" w:before="8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c>
          <w:tcPr>
            <w:tcW w:type="dxa" w:w="3066"/>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Indicador</w:t>
            </w:r>
          </w:p>
        </w:tc>
        <w:tc>
          <w:tcPr>
            <w:tcW w:type="dxa" w:w="3066"/>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Meta mínima</w:t>
            </w:r>
          </w:p>
        </w:tc>
        <w:tc>
          <w:tcPr>
            <w:tcW w:type="dxa" w:w="3068"/>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Meta óptima</w:t>
            </w:r>
          </w:p>
        </w:tc>
      </w:tr>
      <w:tr>
        <w:tc>
          <w:tcPr>
            <w:tcW w:type="dxa" w:w="3066"/>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Asistentes por evento</w:t>
            </w:r>
          </w:p>
        </w:tc>
        <w:tc>
          <w:tcPr>
            <w:tcW w:type="dxa" w:w="3066"/>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50 personas</w:t>
            </w:r>
          </w:p>
        </w:tc>
        <w:tc>
          <w:tcPr>
            <w:tcW w:type="dxa" w:w="3068"/>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100 personas</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Tasa de ocupación</w:t>
            </w:r>
          </w:p>
        </w:tc>
        <w:tc>
          <w:tcPr>
            <w:tcW w:type="dxa" w:w="3066"/>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50% del aforo</w:t>
            </w:r>
          </w:p>
        </w:tc>
        <w:tc>
          <w:tcPr>
            <w:tcW w:type="dxa" w:w="306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100% del aforo</w:t>
            </w:r>
          </w:p>
        </w:tc>
      </w:tr>
      <w:tr>
        <w:tc>
          <w:tcPr>
            <w:tcW w:type="dxa" w:w="3066"/>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Ingresos netos por evento (sin IVA)</w:t>
            </w:r>
          </w:p>
        </w:tc>
        <w:tc>
          <w:tcPr>
            <w:tcW w:type="dxa" w:w="3066"/>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2.326€</w:t>
            </w:r>
          </w:p>
        </w:tc>
        <w:tc>
          <w:tcPr>
            <w:tcW w:type="dxa" w:w="3068"/>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4.983€</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EBITDA por evento</w:t>
            </w:r>
          </w:p>
        </w:tc>
        <w:tc>
          <w:tcPr>
            <w:tcW w:type="dxa" w:w="3066"/>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bCs/>
                <w:i w:val="false"/>
                <w:iCs w:val="false"/>
                <w:color w:val="333333"/>
                <w:sz w:val="18"/>
                <w:szCs w:val="18"/>
              </w:rPr>
              <w:t xml:space="preserve">+400€ mín.</w:t>
            </w:r>
          </w:p>
        </w:tc>
        <w:tc>
          <w:tcPr>
            <w:tcW w:type="dxa" w:w="306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bCs/>
                <w:i w:val="false"/>
                <w:iCs w:val="false"/>
                <w:color w:val="333333"/>
                <w:sz w:val="18"/>
                <w:szCs w:val="18"/>
              </w:rPr>
              <w:t xml:space="preserve">+2.500€ óptimo</w:t>
            </w:r>
          </w:p>
        </w:tc>
      </w:tr>
      <w:tr>
        <w:tc>
          <w:tcPr>
            <w:tcW w:type="dxa" w:w="3066"/>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Tasa de reserva anticipada (20€)</w:t>
            </w:r>
          </w:p>
        </w:tc>
        <w:tc>
          <w:tcPr>
            <w:tcW w:type="dxa" w:w="3066"/>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30% del aforo 4 sem. antes</w:t>
            </w:r>
          </w:p>
        </w:tc>
        <w:tc>
          <w:tcPr>
            <w:tcW w:type="dxa" w:w="3068"/>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60% del aforo 4 sem. antes</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Net Promoter Score (NPS)</w:t>
            </w:r>
          </w:p>
        </w:tc>
        <w:tc>
          <w:tcPr>
            <w:tcW w:type="dxa" w:w="3066"/>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&gt;70</w:t>
            </w:r>
          </w:p>
        </w:tc>
        <w:tc>
          <w:tcPr>
            <w:tcW w:type="dxa" w:w="306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&gt;90</w:t>
            </w:r>
          </w:p>
        </w:tc>
      </w:tr>
      <w:tr>
        <w:tc>
          <w:tcPr>
            <w:tcW w:type="dxa" w:w="3066"/>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Conversión a programa privado Mariana Verner</w:t>
            </w:r>
          </w:p>
        </w:tc>
        <w:tc>
          <w:tcPr>
            <w:tcW w:type="dxa" w:w="3066"/>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2 por evento</w:t>
            </w:r>
          </w:p>
        </w:tc>
        <w:tc>
          <w:tcPr>
            <w:tcW w:type="dxa" w:w="3068"/>
            <w:tcBorders>
              <w:top w:val="single" w:color="CCCCCC" w:sz="1"/>
              <w:left w:val="single" w:color="CCCCCC" w:sz="1"/>
              <w:bottom w:val="single" w:color="CCCCCC" w:sz="1"/>
              <w:right w:val="single" w:color="CCCCCC" w:sz="1"/>
            </w:tcBorders>
            <w:shd w:fill="F5F5F3"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5 por evento</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val="false"/>
                <w:bCs w:val="false"/>
                <w:i w:val="false"/>
                <w:iCs w:val="false"/>
                <w:color w:val="333333"/>
                <w:sz w:val="18"/>
                <w:szCs w:val="18"/>
              </w:rPr>
              <w:t xml:space="preserve">Crecimiento de seguidores Instagram combinado</w:t>
            </w:r>
          </w:p>
        </w:tc>
        <w:tc>
          <w:tcPr>
            <w:tcW w:type="dxa" w:w="3066"/>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bCs/>
                <w:i w:val="false"/>
                <w:iCs w:val="false"/>
                <w:color w:val="333333"/>
                <w:sz w:val="18"/>
                <w:szCs w:val="18"/>
              </w:rPr>
              <w:t xml:space="preserve">+500 por evento</w:t>
            </w:r>
          </w:p>
        </w:tc>
        <w:tc>
          <w:tcPr>
            <w:tcW w:type="dxa" w:w="306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80" w:before="0"/>
              <w:jc w:val="left"/>
            </w:pPr>
            <w:r>
              <w:rPr>
                <w:rFonts w:ascii="Arial" w:cs="Arial" w:eastAsia="Arial" w:hAnsi="Arial"/>
                <w:b/>
                <w:bCs/>
                <w:i w:val="false"/>
                <w:iCs w:val="false"/>
                <w:color w:val="333333"/>
                <w:sz w:val="18"/>
                <w:szCs w:val="18"/>
              </w:rPr>
              <w:t xml:space="preserve">+1.500 por evento</w:t>
            </w:r>
          </w:p>
        </w:tc>
      </w:tr>
    </w:tbl>
    <w:p>
      <w:pPr>
        <w:spacing w:after="0" w:before="20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left w:val="single" w:color="C9A84C" w:sz="18"/>
              <w:bottom w:val="none"/>
              <w:right w:val="none"/>
            </w:tcBorders>
            <w:shd w:fill="FDF6E3" w:val="clear"/>
            <w:tcMar>
              <w:top w:type="dxa" w:w="100"/>
              <w:left w:type="dxa" w:w="200"/>
              <w:bottom w:type="dxa" w:w="100"/>
              <w:right w:type="dxa" w:w="120"/>
            </w:tcMar>
          </w:tcPr>
          <w:p>
            <w:pPr>
              <w:spacing w:after="80" w:before="0"/>
              <w:jc w:val="left"/>
            </w:pPr>
            <w:r>
              <w:rPr>
                <w:rFonts w:ascii="Arial" w:cs="Arial" w:eastAsia="Arial" w:hAnsi="Arial"/>
                <w:b w:val="false"/>
                <w:bCs w:val="false"/>
                <w:i/>
                <w:iCs/>
                <w:color w:val="444444"/>
                <w:sz w:val="19"/>
                <w:szCs w:val="19"/>
              </w:rPr>
              <w:t xml:space="preserve">El evento funciona también como entrada al ecosistema Mariana Verner: cada taller es una oportunidad de captación de clientes para programas privados de alto valor, cuyo ticket mínimo supera los 3.000€.</w:t>
            </w:r>
          </w:p>
        </w:tc>
      </w:tr>
    </w:tbl>
    <w:p>
      <w:pPr>
        <w:pageBreakBefore/>
      </w:pPr>
      <w:r>
        <w:br/>
      </w:r>
    </w:p>
    <w:p>
      <w:pPr>
        <w:pBdr>
          <w:bottom w:val="single" w:color="C9A84C" w:sz="8" w:space="3"/>
        </w:pBdr>
        <w:spacing w:after="120" w:before="360"/>
      </w:pPr>
      <w:r>
        <w:rPr>
          <w:rFonts w:ascii="Arial" w:cs="Arial" w:eastAsia="Arial" w:hAnsi="Arial"/>
          <w:b/>
          <w:bCs/>
          <w:i w:val="false"/>
          <w:iCs w:val="false"/>
          <w:color w:val="0A0A0A"/>
          <w:sz w:val="28"/>
          <w:szCs w:val="28"/>
        </w:rPr>
        <w:t xml:space="preserve">8. Próximos pasos inmediatos</w:t>
      </w:r>
    </w:p>
    <w:p>
      <w:pPr>
        <w:spacing w:after="100" w:before="0"/>
      </w:pPr>
      <w:r>
        <w:rPr>
          <w:rFonts w:ascii="Arial" w:cs="Arial" w:eastAsia="Arial" w:hAnsi="Arial"/>
          <w:b w:val="false"/>
          <w:bCs w:val="false"/>
          <w:i w:val="false"/>
          <w:iCs w:val="false"/>
          <w:color w:val="333333"/>
          <w:sz w:val="20"/>
          <w:szCs w:val="20"/>
        </w:rPr>
        <w:t xml:space="preserve">Acciones a completar antes del 31 de mayo de 2025:</w:t>
      </w:r>
    </w:p>
    <w:p>
      <w:pPr>
        <w:spacing w:after="0" w:before="60"/>
      </w:pPr>
      <w:r>
        <w:rPr>
          <w:rFonts w:ascii="Arial" w:cs="Arial" w:eastAsia="Arial" w:hAnsi="Arial"/>
          <w:b w:val="false"/>
          <w:bCs w:val="false"/>
          <w:i w:val="false"/>
          <w:iCs w:val="false"/>
          <w:color w:val="0A0A0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0"/>
        <w:gridCol w:w="4200"/>
      </w:tblGrid>
      <w:tr>
        <w:tc>
          <w:tcPr>
            <w:tcW w:type="dxa" w:w="5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Acción</w:t>
            </w:r>
          </w:p>
        </w:tc>
        <w:tc>
          <w:tcPr>
            <w:tcW w:type="dxa" w:w="4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C9A84C"/>
                <w:sz w:val="19"/>
                <w:szCs w:val="19"/>
              </w:rPr>
              <w:t xml:space="preserve">Responsable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Diagnóstico legal: CIF, cuentas, objeto social ∞ SL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Gestoría</w:t>
            </w:r>
          </w:p>
        </w:tc>
      </w:tr>
      <w:tr>
        <w:tc>
          <w:tcPr>
            <w:tcW w:type="dxa" w:w="5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Presentar Modelo 036 — reactivación SL</w:t>
            </w:r>
          </w:p>
        </w:tc>
        <w:tc>
          <w:tcPr>
            <w:tcW w:type="dxa" w:w="4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Gestoría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Definir IVA aplicable y ajustar precio publicado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Gestoría + Socias</w:t>
            </w:r>
          </w:p>
        </w:tc>
      </w:tr>
      <w:tr>
        <w:tc>
          <w:tcPr>
            <w:tcW w:type="dxa" w:w="5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Firmar contrato de colaboración entre ponentes</w:t>
            </w:r>
          </w:p>
        </w:tc>
        <w:tc>
          <w:tcPr>
            <w:tcW w:type="dxa" w:w="4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Abogado + Socias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Contratar seguro RC para los 3 eventos de Madrid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Socias</w:t>
            </w:r>
          </w:p>
        </w:tc>
      </w:tr>
      <w:tr>
        <w:tc>
          <w:tcPr>
            <w:tcW w:type="dxa" w:w="5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Publicar política de privacidad en la web</w:t>
            </w:r>
          </w:p>
        </w:tc>
        <w:tc>
          <w:tcPr>
            <w:tcW w:type="dxa" w:w="4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Socias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Confirmar venue para el 24 de septiembre en Madrid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Socias</w:t>
            </w:r>
          </w:p>
        </w:tc>
      </w:tr>
      <w:tr>
        <w:tc>
          <w:tcPr>
            <w:tcW w:type="dxa" w:w="5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Activar plataforma de ticketing (Eventbrite / Weezevent)</w:t>
            </w:r>
          </w:p>
        </w:tc>
        <w:tc>
          <w:tcPr>
            <w:tcW w:type="dxa" w:w="4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Socias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Arrancar plan de contenido en Instagram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222222"/>
                <w:sz w:val="19"/>
                <w:szCs w:val="19"/>
              </w:rPr>
              <w:t xml:space="preserve">Socias</w:t>
            </w:r>
          </w:p>
        </w:tc>
      </w:tr>
    </w:tbl>
    <w:p>
      <w:pPr>
        <w:spacing w:after="0" w:before="300"/>
      </w:pPr>
      <w:r>
        <w:rPr>
          <w:rFonts w:ascii="Arial" w:cs="Arial" w:eastAsia="Arial" w:hAnsi="Arial"/>
          <w:b w:val="false"/>
          <w:bCs w:val="false"/>
          <w:i w:val="false"/>
          <w:iCs w:val="false"/>
          <w:color w:val="0A0A0A"/>
          <w:sz w:val="20"/>
          <w:szCs w:val="20"/>
        </w:rPr>
        <w:t xml:space="preserve"/>
      </w:r>
    </w:p>
    <w:p>
      <w:pPr>
        <w:pBdr>
          <w:bottom w:val="single" w:color="C9A84C" w:sz="6" w:space="1"/>
        </w:pBdr>
        <w:spacing w:after="80" w:before="80"/>
      </w:pPr>
      <w:r>
        <w:rPr>
          <w:rFonts w:ascii="Arial" w:cs="Arial" w:eastAsia="Arial" w:hAnsi="Arial"/>
          <w:b w:val="false"/>
          <w:bCs w:val="false"/>
          <w:i w:val="false"/>
          <w:iCs w:val="false"/>
          <w:color w:val="0A0A0A"/>
          <w:sz w:val="20"/>
          <w:szCs w:val="20"/>
        </w:rPr>
        <w:t xml:space="preserve"/>
      </w:r>
    </w:p>
    <w:p>
      <w:pPr>
        <w:spacing w:after="0" w:before="100"/>
      </w:pPr>
      <w:r>
        <w:rPr>
          <w:rFonts w:ascii="Arial" w:cs="Arial" w:eastAsia="Arial" w:hAnsi="Arial"/>
          <w:b w:val="false"/>
          <w:bCs w:val="false"/>
          <w:i w:val="false"/>
          <w:iCs w:val="false"/>
          <w:color w:val="0A0A0A"/>
          <w:sz w:val="20"/>
          <w:szCs w:val="20"/>
        </w:rPr>
        <w:t xml:space="preserve"/>
      </w:r>
    </w:p>
    <w:p>
      <w:pPr>
        <w:spacing w:after="80" w:before="0"/>
        <w:jc w:val="center"/>
      </w:pPr>
      <w:r>
        <w:rPr>
          <w:rFonts w:ascii="Arial" w:cs="Arial" w:eastAsia="Arial" w:hAnsi="Arial"/>
          <w:b w:val="false"/>
          <w:bCs w:val="false"/>
          <w:i/>
          <w:iCs/>
          <w:color w:val="AAAAAA"/>
          <w:sz w:val="16"/>
          <w:szCs w:val="16"/>
        </w:rPr>
        <w:t xml:space="preserve">∞ SL · Cree en ti: despierta tu poder interior · Plan de lanzamiento v1.0 · Abril 2025</w:t>
      </w:r>
    </w:p>
    <w:p>
      <w:pPr>
        <w:spacing w:after="80" w:before="0"/>
        <w:jc w:val="center"/>
      </w:pPr>
      <w:r>
        <w:rPr>
          <w:rFonts w:ascii="Arial" w:cs="Arial" w:eastAsia="Arial" w:hAnsi="Arial"/>
          <w:b w:val="false"/>
          <w:bCs w:val="false"/>
          <w:i/>
          <w:iCs/>
          <w:color w:val="BBBBBB"/>
          <w:sz w:val="15"/>
          <w:szCs w:val="15"/>
        </w:rPr>
        <w:t xml:space="preserve">Documento confidencial de uso interno. No distribuir sin autorización.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rPr>
    </w:lvl>
    <w:lvl w:ilvl="1" w15:tentative="1">
      <w:start w:val="1"/>
      <w:numFmt w:val="bullet"/>
      <w:lvlText w:val="·"/>
      <w:lvlJc w:val="left"/>
      <w:pPr>
        <w:ind w:left="840" w:hanging="24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0A0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2026-04-23T15:22:03.225Z</dcterms:created>
  <dcterms:modified xsi:type="dcterms:W3CDTF">2026-04-23T15:22:03.226Z</dcterms:modified>
</cp:coreProperties>
</file>

<file path=docProps/custom.xml><?xml version="1.0" encoding="utf-8"?>
<Properties xmlns="http://schemas.openxmlformats.org/officeDocument/2006/custom-properties" xmlns:vt="http://schemas.openxmlformats.org/officeDocument/2006/docPropsVTypes"/>
</file>