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Ejercicio FlowSync · Resumen ejecutivo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Módulo 1 · Los 3 pilares del uso efectivo de copilotos IA</w:t>
      </w:r>
      <w:r>
        <w:rPr>
          <w:rFonts w:ascii="Calibri" w:cs="Calibri" w:eastAsia="Calibri" w:hAnsi="Calibri"/>
        </w:rPr>
        <w:t xml:space="preserve"> · Máster AI4Devs 2026/09 Seniors (LIDR)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Autor:</w:t>
      </w:r>
      <w:r>
        <w:rPr>
          <w:rFonts w:ascii="Calibri" w:cs="Calibri" w:eastAsia="Calibri" w:hAnsi="Calibri"/>
        </w:rPr>
        <w:t xml:space="preserve"> Joaquim Mauri · </w:t>
      </w:r>
      <w:r>
        <w:rPr>
          <w:rFonts w:ascii="Calibri" w:cs="Calibri" w:eastAsia="Calibri" w:hAnsi="Calibri"/>
          <w:b/>
          <w:bCs/>
        </w:rPr>
        <w:t xml:space="preserve">Fecha de la prueba:</w:t>
      </w:r>
      <w:r>
        <w:rPr>
          <w:rFonts w:ascii="Calibri" w:cs="Calibri" w:eastAsia="Calibri" w:hAnsi="Calibri"/>
        </w:rPr>
        <w:t xml:space="preserve"> 14/09/2026 · </w:t>
      </w:r>
      <w:r>
        <w:rPr>
          <w:rFonts w:ascii="Calibri" w:cs="Calibri" w:eastAsia="Calibri" w:hAnsi="Calibri"/>
          <w:b/>
          <w:bCs/>
        </w:rPr>
        <w:t xml:space="preserve">Entrega:</w:t>
      </w:r>
      <w:r>
        <w:rPr>
          <w:rFonts w:ascii="Calibri" w:cs="Calibri" w:eastAsia="Calibri" w:hAnsi="Calibri"/>
        </w:rPr>
        <w:t xml:space="preserve"> </w:t>
      </w:r>
      <w:hyperlink w:history="1" r:id="rIdrdlvq7btg2gmjqgf6z2md">
        <w:r>
          <w:rPr>
            <w:rStyle w:val="Hyperlink"/>
            <w:rFonts w:ascii="Calibri" w:cs="Calibri" w:eastAsia="Calibri" w:hAnsi="Calibri"/>
          </w:rPr>
          <w:t xml:space="preserve">PR #1</w:t>
        </w:r>
      </w:hyperlink>
      <w:r>
        <w:rPr>
          <w:rFonts w:ascii="Calibri" w:cs="Calibri" w:eastAsia="Calibri" w:hAnsi="Calibri"/>
        </w:rPr>
        <w:t xml:space="preserve"> (abierto, pendiente de revisión)</w:t>
      </w:r>
    </w:p>
    <w:p>
      <w:pPr>
        <w:pBdr>
          <w:bottom w:val="single" w:color="BFC7D5" w:sz="6" w:space="4"/>
        </w:pBdr>
        <w:spacing w:after="1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En una frase</w:t>
      </w:r>
    </w:p>
    <w:p>
      <w:pPr>
        <w:spacing w:after="100"/>
      </w:pPr>
      <w:r>
        <w:rPr>
          <w:rFonts w:ascii="Calibri" w:cs="Calibri" w:eastAsia="Calibri" w:hAnsi="Calibri"/>
        </w:rPr>
        <w:t xml:space="preserve">Con el mismo modelo y el mismo encargo, la copia </w:t>
      </w:r>
      <w:r>
        <w:rPr>
          <w:rFonts w:ascii="Calibri" w:cs="Calibri" w:eastAsia="Calibri" w:hAnsi="Calibri"/>
          <w:b/>
          <w:bCs/>
        </w:rPr>
        <w:t xml:space="preserve">con harness</w:t>
      </w:r>
      <w:r>
        <w:rPr>
          <w:rFonts w:ascii="Calibri" w:cs="Calibri" w:eastAsia="Calibri" w:hAnsi="Calibri"/>
        </w:rPr>
        <w:t xml:space="preserve"> entregó una solución más acotada: </w:t>
      </w:r>
      <w:r>
        <w:rPr>
          <w:rFonts w:ascii="Calibri" w:cs="Calibri" w:eastAsia="Calibri" w:hAnsi="Calibri"/>
          <w:b/>
          <w:bCs/>
        </w:rPr>
        <w:t xml:space="preserve">12 archivos frente a 20, ningún cambio en el backend frente a 3 y ninguna dependencia nueva frente a 4</w:t>
      </w:r>
      <w:r>
        <w:rPr>
          <w:rFonts w:ascii="Calibri" w:cs="Calibri" w:eastAsia="Calibri" w:hAnsi="Calibri"/>
        </w:rPr>
        <w:t xml:space="preserve">, en menos de la mitad de tiempo. Pero el harness </w:t>
      </w:r>
      <w:r>
        <w:rPr>
          <w:rFonts w:ascii="Calibri" w:cs="Calibri" w:eastAsia="Calibri" w:hAnsi="Calibri"/>
          <w:b/>
          <w:bCs/>
        </w:rPr>
        <w:t xml:space="preserve">no garantizó</w:t>
      </w:r>
      <w:r>
        <w:rPr>
          <w:rFonts w:ascii="Calibri" w:cs="Calibri" w:eastAsia="Calibri" w:hAnsi="Calibri"/>
        </w:rPr>
        <w:t xml:space="preserve"> que se cumplieran sus reglas: una se incumplió igualmente.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Objetivo</w:t>
      </w:r>
    </w:p>
    <w:p>
      <w:pPr>
        <w:spacing w:after="100"/>
      </w:pPr>
      <w:r>
        <w:rPr>
          <w:rFonts w:ascii="Calibri" w:cs="Calibri" w:eastAsia="Calibri" w:hAnsi="Calibri"/>
        </w:rPr>
        <w:t xml:space="preserve">Comprobar la idea central del módulo: </w:t>
      </w:r>
      <w:r>
        <w:rPr>
          <w:rFonts w:ascii="Calibri" w:cs="Calibri" w:eastAsia="Calibri" w:hAnsi="Calibri"/>
          <w:b/>
          <w:bCs/>
        </w:rPr>
        <w:t xml:space="preserve">el andamiaje que rodea al modelo explica más varianza que el propio modelo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</w:rPr>
        <w:t xml:space="preserve">Para eso se lanza el mismo encargo, con el mismo modelo, en dos copias idénticas de un proyecto que solo se diferencian en lo que hay montado alrededor, y se compara por dónde se separan las dos salidas. El entregable no es el código: es la </w:t>
      </w:r>
      <w:r>
        <w:rPr>
          <w:rFonts w:ascii="Calibri" w:cs="Calibri" w:eastAsia="Calibri" w:hAnsi="Calibri"/>
          <w:b/>
          <w:bCs/>
        </w:rPr>
        <w:t xml:space="preserve">comparación</w:t>
      </w:r>
      <w:r>
        <w:rPr>
          <w:rFonts w:ascii="Calibri" w:cs="Calibri" w:eastAsia="Calibri" w:hAnsi="Calibri"/>
        </w:rPr>
        <w:t xml:space="preserve">, los </w:t>
      </w:r>
      <w:r>
        <w:rPr>
          <w:rFonts w:ascii="Calibri" w:cs="Calibri" w:eastAsia="Calibri" w:hAnsi="Calibri"/>
          <w:b/>
          <w:bCs/>
        </w:rPr>
        <w:t xml:space="preserve">prompts</w:t>
      </w:r>
      <w:r>
        <w:rPr>
          <w:rFonts w:ascii="Calibri" w:cs="Calibri" w:eastAsia="Calibri" w:hAnsi="Calibri"/>
        </w:rPr>
        <w:t xml:space="preserve"> tal cual se lanzaron y </w:t>
      </w:r>
      <w:r>
        <w:rPr>
          <w:rFonts w:ascii="Calibri" w:cs="Calibri" w:eastAsia="Calibri" w:hAnsi="Calibri"/>
          <w:b/>
          <w:bCs/>
        </w:rPr>
        <w:t xml:space="preserve">tres líneas de reflexión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Cómo se hizo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Elemento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FlowSync: API en AdonisJS 7 (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backend/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y React 19 + Vite (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frontend/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Dos copias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 harness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(se entrega) 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pelada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(sin nada), idénticas byte a byte al empezar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Harness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· Orienta antes: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CLAUDE.md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secciones «Prohibido» (no tocar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backend/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no editar código generado, no lanzar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node ace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no añadir dependencias sin justificar) y «Convenciones» (leer el validador real, textos en español, oxlint)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 · Comprueba después: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hook de Claude Code que pasa oxlint a cada archivo del frontend editado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Encargo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Historia de Jira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FLOW-2 «Crear cuenta desde la aplicación web»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lenguaje de producto, 4 criterios de aceptación y huecos que solo se resuelven leyendo el código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Mismo texto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Pegado desde un único archivo en las dos copias (verificado: idéntico carácter a carácter)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Modelo y herramienta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Claude Opus 5 (1M), esfuerzo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high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modo automático, Claude Code CLI 2.1.270, Node 24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Reloj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 min: de 19:37 a 20:17 (39,4 min usados)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Resultados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69"/>
        <w:gridCol w:w="3369"/>
      </w:tblGrid>
      <w:tr>
        <w:trPr>
          <w:tblHeader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 harness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 harness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Tiempo de la corrida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 min 21 s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 min 46 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Archivos tocados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todos en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frontend/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3 de ellos en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backend/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Cambios en el backend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Ninguno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Cambió el validador, añadió un test y escribió en la base de datos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Dependencias nuevas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(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vitest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@testing-library/*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jsdom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Comandos que el harness prohíbe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node ace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arrancar servidores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Intervenciones humanas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lint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build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Pasan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Pasan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Tests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añadió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Añadió tests de frontend y de backend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Probado en navegador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Disparos del hook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(el lint pasaba)</w:t>
            </w:r>
          </w:p>
        </w:tc>
        <w:tc>
          <w:tcPr>
            <w:tcW w:type="dxa" w:w="33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Conclusiones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El harness acota el alcance.</w:t>
      </w:r>
      <w:r>
        <w:rPr>
          <w:rFonts w:ascii="Calibri" w:cs="Calibri" w:eastAsia="Calibri" w:hAnsi="Calibri"/>
        </w:rPr>
        <w:t xml:space="preserve"> Todas las reglas de «Prohibido» se cumplieron en la copia con harness, y la pelada hizo justo lo contrario sin saberlo: tocó el backend, lanzó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node ace</w:t>
      </w:r>
      <w:r>
        <w:rPr>
          <w:rFonts w:ascii="Calibri" w:cs="Calibri" w:eastAsia="Calibri" w:hAnsi="Calibri"/>
        </w:rPr>
        <w:t xml:space="preserve"> y añadió dependencias. En </w:t>
      </w:r>
      <w:r>
        <w:rPr>
          <w:rFonts w:ascii="Calibri" w:cs="Calibri" w:eastAsia="Calibri" w:hAnsi="Calibri"/>
          <w:b/>
          <w:bCs/>
        </w:rPr>
        <w:t xml:space="preserve">qué se toca y qué no</w:t>
      </w:r>
      <w:r>
        <w:rPr>
          <w:rFonts w:ascii="Calibri" w:cs="Calibri" w:eastAsia="Calibri" w:hAnsi="Calibri"/>
        </w:rPr>
        <w:t xml:space="preserve">, el andamiaje marcó más diferencia que el modelo, que era el mismo.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Pero el harness no es una garantía.</w:t>
      </w:r>
      <w:r>
        <w:rPr>
          <w:rFonts w:ascii="Calibri" w:cs="Calibri" w:eastAsia="Calibri" w:hAnsi="Calibri"/>
        </w:rPr>
        <w:t xml:space="preserve"> Una regla se leyó y aun así no se aplicó.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CLAUDE.md</w:t>
      </w:r>
      <w:r>
        <w:rPr>
          <w:rFonts w:ascii="Calibri" w:cs="Calibri" w:eastAsia="Calibri" w:hAnsi="Calibri"/>
        </w:rPr>
        <w:t xml:space="preserve"> pedía leer el validador real antes de suponer un campo; el agente lo leyó (el nombre era opcional), pero lo hizo obligatorio porque una prueba contra la API le decía otra cosa. Un archivo de instrucciones </w:t>
      </w:r>
      <w:r>
        <w:rPr>
          <w:rFonts w:ascii="Calibri" w:cs="Calibri" w:eastAsia="Calibri" w:hAnsi="Calibri"/>
          <w:b/>
          <w:bCs/>
        </w:rPr>
        <w:t xml:space="preserve">sube la probabilidad</w:t>
      </w:r>
      <w:r>
        <w:rPr>
          <w:rFonts w:ascii="Calibri" w:cs="Calibri" w:eastAsia="Calibri" w:hAnsi="Calibri"/>
        </w:rPr>
        <w:t xml:space="preserve"> de que algo pase; no lo asegura.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Una comprobación automática solo cubre lo que ve.</w:t>
      </w:r>
      <w:r>
        <w:rPr>
          <w:rFonts w:ascii="Calibri" w:cs="Calibri" w:eastAsia="Calibri" w:hAnsi="Calibri"/>
        </w:rPr>
        <w:t xml:space="preserve"> El hook se configuró para las ediciones del agente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Edit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Write</w:t>
      </w:r>
      <w:r>
        <w:rPr>
          <w:rFonts w:ascii="Calibri" w:cs="Calibri" w:eastAsia="Calibri" w:hAnsi="Calibri"/>
        </w:rPr>
        <w:t xml:space="preserve">). Los dos agentes escribieron un archivo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App.tsx</w:t>
      </w:r>
      <w:r>
        <w:rPr>
          <w:rFonts w:ascii="Calibri" w:cs="Calibri" w:eastAsia="Calibri" w:hAnsi="Calibri"/>
        </w:rPr>
        <w:t xml:space="preserve">) con un comando de shell, y el hook no lo revisó. Las comprobaciones deterministas tienen que cubrir </w:t>
      </w:r>
      <w:r>
        <w:rPr>
          <w:rFonts w:ascii="Calibri" w:cs="Calibri" w:eastAsia="Calibri" w:hAnsi="Calibri"/>
          <w:b/>
          <w:bCs/>
        </w:rPr>
        <w:t xml:space="preserve">todas las vías de escritura</w:t>
      </w:r>
      <w:r>
        <w:rPr>
          <w:rFonts w:ascii="Calibri" w:cs="Calibri" w:eastAsia="Calibri" w:hAnsi="Calibri"/>
        </w:rPr>
        <w:t xml:space="preserve">, o ejecutarse al final.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Más acotado no significa mejor en todo.</w:t>
      </w:r>
      <w:r>
        <w:rPr>
          <w:rFonts w:ascii="Calibri" w:cs="Calibri" w:eastAsia="Calibri" w:hAnsi="Calibri"/>
        </w:rPr>
        <w:t xml:space="preserve"> La copia con harness fue más rápida y más limpia, pero la pelada fue más exhaustiva: añadió tests y probó el alta real contra la API. Ninguna de las dos se probó en el navegador. La diferencia medida es de </w:t>
      </w:r>
      <w:r>
        <w:rPr>
          <w:rFonts w:ascii="Calibri" w:cs="Calibri" w:eastAsia="Calibri" w:hAnsi="Calibri"/>
          <w:b/>
          <w:bCs/>
        </w:rPr>
        <w:t xml:space="preserve">alcance y respeto de reglas</w:t>
      </w:r>
      <w:r>
        <w:rPr>
          <w:rFonts w:ascii="Calibri" w:cs="Calibri" w:eastAsia="Calibri" w:hAnsi="Calibri"/>
        </w:rPr>
        <w:t xml:space="preserve">, no de calidad global.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</w:rPr>
        <w:t xml:space="preserve">El experimento también necesita su harness.</w:t>
      </w:r>
      <w:r>
        <w:rPr>
          <w:rFonts w:ascii="Calibri" w:cs="Calibri" w:eastAsia="Calibri" w:hAnsi="Calibri"/>
        </w:rPr>
        <w:t xml:space="preserve"> Tres detalles del entorno pudieron invalidar la comparación: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Las dos copias compartían puerto.</w:t>
      </w:r>
      <w:r>
        <w:rPr>
          <w:rFonts w:ascii="Calibri" w:cs="Calibri" w:eastAsia="Calibri" w:hAnsi="Calibri"/>
        </w:rPr>
        <w:t xml:space="preserve"> La pelada levantó su backend y cambió su validador; la copia con harness consultó ese mismo servidor y copió la regla equivocada.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b/>
          <w:bCs/>
          <w:color w:val="7A2E0E"/>
          <w:sz w:val="19"/>
          <w:szCs w:val="19"/>
        </w:rPr>
        <w:t xml:space="preserve">/init</w:t>
      </w:r>
      <w:r>
        <w:rPr>
          <w:rFonts w:ascii="Calibri" w:cs="Calibri" w:eastAsia="Calibri" w:hAnsi="Calibri"/>
          <w:b/>
          <w:bCs/>
        </w:rPr>
        <w:t xml:space="preserve"> describió el propio ejercicio</w:t>
      </w:r>
      <w:r>
        <w:rPr>
          <w:rFonts w:ascii="Calibri" w:cs="Calibri" w:eastAsia="Calibri" w:hAnsi="Calibri"/>
        </w:rPr>
        <w:t xml:space="preserve"> dentro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CLAUDE.md</w:t>
      </w:r>
      <w:r>
        <w:rPr>
          <w:rFonts w:ascii="Calibri" w:cs="Calibri" w:eastAsia="Calibri" w:hAnsi="Calibri"/>
        </w:rPr>
        <w:t xml:space="preserve">, lo que puede sesgar al agente. Hubo que borrarlo a mano.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Pequeños fallos de entorno costaron más que montar las piezas:</w:t>
      </w:r>
      <w:r>
        <w:rPr>
          <w:rFonts w:ascii="Calibri" w:cs="Calibri" w:eastAsia="Calibri" w:hAnsi="Calibri"/>
        </w:rPr>
        <w:t xml:space="preserve"> la versión de Node, un módulo nativo que no cargaba y confundir las ventanas de cada copia.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Límites de la prueba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Una sola ejecución por lado.</w:t>
      </w:r>
      <w:r>
        <w:rPr>
          <w:rFonts w:ascii="Calibri" w:cs="Calibri" w:eastAsia="Calibri" w:hAnsi="Calibri"/>
        </w:rPr>
        <w:t xml:space="preserve"> El agente no es determinista; con otra corrida pueden cambiar los números.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Contaminación entre copias</w:t>
      </w:r>
      <w:r>
        <w:rPr>
          <w:rFonts w:ascii="Calibri" w:cs="Calibri" w:eastAsia="Calibri" w:hAnsi="Calibri"/>
        </w:rPr>
        <w:t xml:space="preserve"> por el puerto compartido: afecta a la conclusión 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Apoyo de IA declarado.</w:t>
      </w:r>
      <w:r>
        <w:rPr>
          <w:rFonts w:ascii="Calibri" w:cs="Calibri" w:eastAsia="Calibri" w:hAnsi="Calibri"/>
        </w:rPr>
        <w:t xml:space="preserve"> Los prompts de las piezas, el texto del ticket y del encargo, y la redacción de las casillas se prepararon con ayuda de Claude;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prompts.md</w:t>
      </w:r>
      <w:r>
        <w:rPr>
          <w:rFonts w:ascii="Calibri" w:cs="Calibri" w:eastAsia="Calibri" w:hAnsi="Calibri"/>
        </w:rPr>
        <w:t xml:space="preserve"> lo detalla.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Intentos previos descartados</w:t>
      </w:r>
      <w:r>
        <w:rPr>
          <w:rFonts w:ascii="Calibri" w:cs="Calibri" w:eastAsia="Calibri" w:hAnsi="Calibri"/>
        </w:rPr>
        <w:t xml:space="preserve"> por problemas de entorno y de ventanas. Este resumen recoge solo la ejecución final.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Harness mínimo:</w:t>
      </w:r>
      <w:r>
        <w:rPr>
          <w:rFonts w:ascii="Calibri" w:cs="Calibri" w:eastAsia="Calibri" w:hAnsi="Calibri"/>
        </w:rPr>
        <w:t xml:space="preserve"> 2 de las 8 piezas del directo, las suficientes para cumplir el enunciado (una de cada familia).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Qué haría distinto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Problema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Mejora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Puerto compartido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Puertos distintos por copia, o prohibir arrancar servidores en las dos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hook no ve las escrituras por shell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Añadir una comprobación al terminar (lint y build de todo el frontend) además del hook por archivo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regla del validador no se aplicó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Formularla como prioridad explícita: «si la API contradice al validador, manda el validador y se pregunta»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/init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filtra el contexto del ejercicio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y limpiar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CLAUDE.md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antes de lanzar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Errores de ventanas y entorno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Scripts de comprobación por paso (ya creados en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scripts/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Entregables y material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Pull request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hyperlink w:history="1" r:id="rIdgsu__fnjnwvhgujph1grs">
              <w:r>
                <w:rPr>
                  <w:rStyle w:val="Hyperlink"/>
                  <w:rFonts w:ascii="Calibri" w:cs="Calibri" w:eastAsia="Calibri" w:hAnsi="Calibri"/>
                  <w:b/>
                  <w:bCs/>
                  <w:sz w:val="19"/>
                  <w:szCs w:val="19"/>
                </w:rPr>
                <w:t xml:space="preserve">LIDR-academy/flowsync-ai4devs-202609-seniors-2 · PR #1</w:t>
              </w:r>
            </w:hyperlink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Comparación y tres líneas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entrega/comparacion.md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Prompts literales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entrega/prompts.md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Guía de ejecución paso a paso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EJERCICIO.md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de tiempos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reloj.log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detallado</w:t>
            </w:r>
          </w:p>
        </w:tc>
        <w:tc>
          <w:tcPr>
            <w:tcW w:type="dxa" w:w="69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</w:rPr>
              <w:t xml:space="preserve">ESTADO.md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808080"/>
        <w:sz w:val="16"/>
        <w:szCs w:val="16"/>
      </w:rPr>
      <w:t xml:space="preserve">Ejercicio FlowSync · Módulo 1 · AI4Devs</w:t>
    </w:r>
    <w:r>
      <w:rPr>
        <w:rFonts w:ascii="Calibri" w:cs="Calibri" w:eastAsia="Calibri" w:hAnsi="Calibri"/>
        <w:color w:val="808080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dlvq7btg2gmjqgf6z2md" Type="http://schemas.openxmlformats.org/officeDocument/2006/relationships/hyperlink" Target="https://github.com/LIDR-academy/flowsync-ai4devs-202609-seniors-2/pull/1" TargetMode="External"/><Relationship Id="rIdgsu__fnjnwvhgujph1grs" Type="http://schemas.openxmlformats.org/officeDocument/2006/relationships/hyperlink" Target="https://github.com/LIDR-academy/flowsync-ai4devs-202609-seniors-2/pull/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FlowSync · Resumen ejecutivo</dc:title>
  <dc:creator>Joaquim Mauri</dc:creator>
  <cp:lastModifiedBy>Un-named</cp:lastModifiedBy>
  <cp:revision>1</cp:revision>
  <dcterms:created xsi:type="dcterms:W3CDTF">2026-09-15T04:18:16.716Z</dcterms:created>
  <dcterms:modified xsi:type="dcterms:W3CDTF">2026-09-15T04:18:16.718Z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