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详情清单</w:t>
      </w:r>
    </w:p>
    <w:p>
      <w:r>
        <w:t>监控一号：</w:t>
      </w:r>
    </w:p>
    <w:p>
      <w:r>
        <w:t>监控标注图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with_bbox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隐患详细分析</w:t>
      </w:r>
    </w:p>
    <w:p>
      <w:r>
        <w:t>环境安全隐患</w:t>
        <w:br/>
        <w:t>隐患位置: 施工现场夜间作业区域</w:t>
        <w:br/>
        <w:t>场景状况: 施工现场在夜间进行作业，现场整体照明不足，能见度较低</w:t>
        <w:br/>
        <w:t>对应规范: 《建筑施工安全检查标准JGJ59-2011》第3.2.2条：施工现场应根据作业环境和条件，合理设置照明设施，确保夜间施工照明充足</w:t>
        <w:br/>
        <w:t>后果分析: 夜间照明不足易导致作业人员无法清晰观察周围环境，增加碰撞、坠落、物体打击等安全事故发生的风险</w:t>
        <w:br/>
        <w:t>相关案例: 无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