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40"/>
        <w:jc w:val="center"/>
      </w:pPr>
      <w:r>
        <w:rPr>
          <w:rFonts w:ascii="Calibri" w:cs="Calibri" w:eastAsia="Calibri" w:hAnsi="Calibri"/>
          <w:color w:val="808080"/>
          <w:sz w:val="28"/>
          <w:szCs w:val="28"/>
        </w:rPr>
        <w:t xml:space="preserve">Defense Speech Notes</w:t>
      </w:r>
    </w:p>
    <w:p>
      <w:pPr>
        <w:spacing w:after="240"/>
        <w:jc w:val="center"/>
      </w:pPr>
      <w:r>
        <w:rPr>
          <w:rFonts w:ascii="Calibri" w:cs="Calibri" w:eastAsia="Calibri" w:hAnsi="Calibri"/>
          <w:b/>
          <w:bCs/>
          <w:color w:val="1F4E79"/>
          <w:sz w:val="40"/>
          <w:szCs w:val="40"/>
        </w:rPr>
        <w:t xml:space="preserve">HIL-SERL for Robotic Pick-and-Lift</w:t>
      </w:r>
    </w:p>
    <w:p>
      <w:pPr>
        <w:spacing w:after="480"/>
        <w:jc w:val="center"/>
      </w:pPr>
      <w:r>
        <w:rPr>
          <w:rFonts w:ascii="Calibri" w:cs="Calibri" w:eastAsia="Calibri" w:hAnsi="Calibri"/>
          <w:i/>
          <w:iCs/>
          <w:color w:val="404040"/>
          <w:sz w:val="22"/>
          <w:szCs w:val="22"/>
        </w:rPr>
        <w:t xml:space="preserve">A Comparative Study of Sparse and Dense Reward Design
with Vision-Based Reinforcement Learning</w:t>
      </w:r>
    </w:p>
    <w:p>
      <w:pPr>
        <w:spacing w:before="1200"/>
      </w:pPr>
      <w:r>
        <w:t xml:space="preserve"/>
      </w:r>
    </w:p>
    <w:p>
      <w:pPr>
        <w:spacing w:after="100"/>
        <w:jc w:val="center"/>
      </w:pPr>
      <w:r>
        <w:rPr>
          <w:rFonts w:ascii="Calibri" w:cs="Calibri" w:eastAsia="Calibri" w:hAnsi="Calibri"/>
          <w:b/>
          <w:bCs/>
          <w:sz w:val="26"/>
          <w:szCs w:val="26"/>
        </w:rPr>
        <w:t xml:space="preserve">ZHU Jingjie</w:t>
      </w:r>
    </w:p>
    <w:p>
      <w:pPr>
        <w:spacing w:after="100"/>
        <w:jc w:val="center"/>
      </w:pPr>
      <w:r>
        <w:rPr>
          <w:rFonts w:ascii="Calibri" w:cs="Calibri" w:eastAsia="Calibri" w:hAnsi="Calibri"/>
          <w:color w:val="595959"/>
          <w:sz w:val="22"/>
          <w:szCs w:val="22"/>
        </w:rPr>
        <w:t xml:space="preserve">Student ID: 1155250187</w:t>
      </w:r>
    </w:p>
    <w:p>
      <w:pPr>
        <w:spacing w:after="100"/>
        <w:jc w:val="center"/>
      </w:pPr>
      <w:r>
        <w:rPr>
          <w:rFonts w:ascii="Calibri" w:cs="Calibri" w:eastAsia="Calibri" w:hAnsi="Calibri"/>
          <w:color w:val="595959"/>
          <w:sz w:val="22"/>
          <w:szCs w:val="22"/>
        </w:rPr>
        <w:t xml:space="preserve">MSC Project — Apr. 2026</w:t>
      </w:r>
    </w:p>
    <w:p>
      <w:r>
        <w:br w:type="page"/>
      </w:r>
    </w:p>
    <w:p>
      <w:pPr>
        <w:pStyle w:val="Heading1"/>
        <w:pageBreakBefore/>
        <w:spacing w:after="180" w:before="360"/>
      </w:pPr>
      <w:r>
        <w:rPr>
          <w:rFonts w:ascii="Calibri" w:cs="Calibri" w:eastAsia="Calibri" w:hAnsi="Calibri"/>
          <w:b/>
          <w:bCs/>
          <w:color w:val="1F4E79"/>
          <w:sz w:val="32"/>
          <w:szCs w:val="32"/>
        </w:rPr>
        <w:t xml:space="preserve">Defense Overview</w:t>
      </w:r>
    </w:p>
    <w:p>
      <w:pPr>
        <w:spacing w:after="120" w:line="320"/>
        <w:jc w:val="both"/>
      </w:pPr>
      <w:r>
        <w:rPr>
          <w:rFonts w:ascii="Calibri" w:cs="Calibri" w:eastAsia="Calibri" w:hAnsi="Calibri"/>
          <w:sz w:val="22"/>
          <w:szCs w:val="22"/>
        </w:rPr>
        <w:t xml:space="preserve">This document accompanies the 11-slide MSC defense presentation. It expands each slide into a delivery-ready narrative, supplements the three currently empty slides with substantive content drawn from the implementation, and consolidates anticipated examiner questions with prepared answers. The intended delivery time is approximately 12 minutes for the spoken portion, leaving 8–10 minutes for Q&amp;A.</w:t>
      </w:r>
    </w:p>
    <w:p>
      <w:pPr>
        <w:pStyle w:val="Heading2"/>
        <w:spacing w:after="120" w:before="240"/>
      </w:pPr>
      <w:r>
        <w:rPr>
          <w:rFonts w:ascii="Calibri" w:cs="Calibri" w:eastAsia="Calibri" w:hAnsi="Calibri"/>
          <w:b/>
          <w:bCs/>
          <w:color w:val="2E75B6"/>
          <w:sz w:val="26"/>
          <w:szCs w:val="26"/>
        </w:rPr>
        <w:t xml:space="preserve">Time Budget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500"/>
        <w:gridCol w:w="150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Slide</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Topic</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Duration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Cumulative</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Title and self-introduction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30s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0:30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2</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Motivation: why HIL-SERL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1:15</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1:45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3</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HIL-SERL method overview</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1:30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3:15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4</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Engineering contributions and bug analysis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2:00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5:15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5</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V1 — sparse reward and hyperparameter alignment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1:15</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6:30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6</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V2 — dense staged reward design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1:15</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7:45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7</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V1 vs V2 design comparison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8:45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8</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Implementation: A100 compute and DRQ</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1:30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10:15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9</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Expected training outcomes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11:15</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10</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Conclusion and future work</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0:45</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12:00</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11</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Acknowledgement and Q&amp;A invitation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20"/>
                <w:szCs w:val="20"/>
              </w:rPr>
              <w:t xml:space="preserve">0:15</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12:15</w:t>
            </w:r>
          </w:p>
        </w:tc>
      </w:tr>
    </w:tbl>
    <w:p>
      <w:pPr>
        <w:spacing w:after="200" w:before="60"/>
        <w:jc w:val="center"/>
      </w:pPr>
      <w:r>
        <w:rPr>
          <w:rFonts w:ascii="Calibri" w:cs="Calibri" w:eastAsia="Calibri" w:hAnsi="Calibri"/>
          <w:i/>
          <w:iCs/>
          <w:color w:val="595959"/>
          <w:sz w:val="18"/>
          <w:szCs w:val="18"/>
        </w:rPr>
        <w:t xml:space="preserve">Recommended pacing for a 12-minute defense talk.</w:t>
      </w:r>
    </w:p>
    <w:p>
      <w:pPr>
        <w:pStyle w:val="Heading2"/>
        <w:spacing w:after="120" w:before="240"/>
      </w:pPr>
      <w:r>
        <w:rPr>
          <w:rFonts w:ascii="Calibri" w:cs="Calibri" w:eastAsia="Calibri" w:hAnsi="Calibri"/>
          <w:b/>
          <w:bCs/>
          <w:color w:val="2E75B6"/>
          <w:sz w:val="26"/>
          <w:szCs w:val="26"/>
        </w:rPr>
        <w:t xml:space="preserve">Document Conventions</w:t>
      </w:r>
    </w:p>
    <w:p>
      <w:pPr>
        <w:pStyle w:val="ListParagraph"/>
        <w:numPr>
          <w:ilvl w:val="0"/>
          <w:numId w:val="2"/>
        </w:numPr>
        <w:spacing w:after="60" w:line="280"/>
      </w:pPr>
      <w:r>
        <w:rPr>
          <w:rFonts w:ascii="Calibri" w:cs="Calibri" w:eastAsia="Calibri" w:hAnsi="Calibri"/>
          <w:sz w:val="22"/>
          <w:szCs w:val="22"/>
        </w:rPr>
        <w:t xml:space="preserve">Slide visual — what the audience sees on screen.</w:t>
      </w:r>
    </w:p>
    <w:p>
      <w:pPr>
        <w:pStyle w:val="ListParagraph"/>
        <w:numPr>
          <w:ilvl w:val="0"/>
          <w:numId w:val="2"/>
        </w:numPr>
        <w:spacing w:after="60" w:line="280"/>
      </w:pPr>
      <w:r>
        <w:rPr>
          <w:rFonts w:ascii="Calibri" w:cs="Calibri" w:eastAsia="Calibri" w:hAnsi="Calibri"/>
          <w:sz w:val="22"/>
          <w:szCs w:val="22"/>
        </w:rPr>
        <w:t xml:space="preserve">Speaker narrative — verbatim or near-verbatim speech.</w:t>
      </w:r>
    </w:p>
    <w:p>
      <w:pPr>
        <w:pStyle w:val="ListParagraph"/>
        <w:numPr>
          <w:ilvl w:val="0"/>
          <w:numId w:val="2"/>
        </w:numPr>
        <w:spacing w:after="60" w:line="280"/>
      </w:pPr>
      <w:r>
        <w:rPr>
          <w:rFonts w:ascii="Calibri" w:cs="Calibri" w:eastAsia="Calibri" w:hAnsi="Calibri"/>
          <w:sz w:val="22"/>
          <w:szCs w:val="22"/>
        </w:rPr>
        <w:t xml:space="preserve">Technical depth — extended content drawn upon during follow-up questions.</w:t>
      </w:r>
    </w:p>
    <w:p>
      <w:pPr>
        <w:pStyle w:val="ListParagraph"/>
        <w:numPr>
          <w:ilvl w:val="0"/>
          <w:numId w:val="2"/>
        </w:numPr>
        <w:spacing w:after="60" w:line="280"/>
      </w:pPr>
      <w:r>
        <w:rPr>
          <w:rFonts w:ascii="Calibri" w:cs="Calibri" w:eastAsia="Calibri" w:hAnsi="Calibri"/>
          <w:sz w:val="22"/>
          <w:szCs w:val="22"/>
        </w:rPr>
        <w:t xml:space="preserve">Anticipated Q&amp;A — prepared answers to examiner questions.</w:t>
      </w:r>
    </w:p>
    <w:p>
      <w:pPr>
        <w:pageBreakBefore/>
        <w:pBdr>
          <w:bottom w:val="single" w:color="1F4E79" w:sz="16" w:space="6"/>
        </w:pBdr>
        <w:spacing w:after="200" w:before="360"/>
      </w:pPr>
      <w:r>
        <w:rPr>
          <w:rFonts w:ascii="Calibri" w:cs="Calibri" w:eastAsia="Calibri" w:hAnsi="Calibri"/>
          <w:b/>
          <w:bCs/>
          <w:color w:val="1F4E79"/>
          <w:sz w:val="18"/>
          <w:szCs w:val="18"/>
        </w:rPr>
        <w:t xml:space="preserve">SLIDE 1</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Title and Self-Introduction</w:t>
      </w:r>
      <w:r>
        <w:rPr>
          <w:rFonts w:ascii="Calibri" w:cs="Calibri" w:eastAsia="Calibri" w:hAnsi="Calibri"/>
          <w:color w:val="808080"/>
          <w:sz w:val="16"/>
          <w:szCs w:val="16"/>
        </w:rPr>
        <w:t xml:space="preserve">   (0:30)</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Title slide. Project title at the top: HIL-SERL for Robotic Pick-and-Lift — A Comparative Study of Sparse and Dense Reward Design with Vision-Based Reinforcement Learning. Author name (ZHU Jingjie), student ID (1155250187), and submission month (April 2026) appear below.</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Good morning, professors. My name is ZHU Jingjie, student ID 1155250187. Today I will present my MSC project: a study of human-in-the-loop sample-efficient reinforcement learning, applied to a robotic pick-and-lift task. The central question of this work is: how should we design the reward function in a vision-based human-in-the-loop RL system, and what engineering is needed to make such a system actually converge on commodity hardware?</w:t>
      </w:r>
    </w:p>
    <w:p>
      <w:pPr>
        <w:spacing w:after="100" w:before="240"/>
      </w:pPr>
      <w:r>
        <w:rPr>
          <w:rFonts w:ascii="Calibri" w:cs="Calibri" w:eastAsia="Calibri" w:hAnsi="Calibri"/>
          <w:b/>
          <w:bCs/>
          <w:color w:val="C56500"/>
          <w:sz w:val="22"/>
          <w:szCs w:val="22"/>
        </w:rPr>
        <w:t xml:space="preserve">Technical depth</w:t>
      </w:r>
    </w:p>
    <w:p>
      <w:pPr>
        <w:spacing w:after="120" w:line="320"/>
        <w:jc w:val="both"/>
      </w:pPr>
      <w:r>
        <w:rPr>
          <w:rFonts w:ascii="Calibri" w:cs="Calibri" w:eastAsia="Calibri" w:hAnsi="Calibri"/>
          <w:sz w:val="22"/>
          <w:szCs w:val="22"/>
        </w:rPr>
        <w:t xml:space="preserve">The full title encodes three commitments. First, the framework: HIL-SERL (Human-in-the-Loop Sample-Efficient Robotic Reinforcement Learning), introduced by Luo et al. in 2024. Second, the comparative scope: two reward designs — V1 sparse and V2 dense — evaluated under an otherwise identical pipeline. Third, the modality: vision-based learning, with two RGB cameras feeding a frozen ResNet encoder.</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Why pick-and-lift specifically?</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Pick-and-lift is the canonical contact-rich manipulation task in the HIL-SERL paper. </w:t>
      </w:r>
      <w:r>
        <w:rPr>
          <w:rFonts w:ascii="Calibri" w:cs="Calibri" w:eastAsia="Calibri" w:hAnsi="Calibri"/>
          <w:sz w:val="22"/>
          <w:szCs w:val="22"/>
        </w:rPr>
        <w:t xml:space="preserve">Solving it well is a prerequisite to more complex assembly tasks. It is also short enough </w:t>
      </w:r>
      <w:r>
        <w:rPr>
          <w:rFonts w:ascii="Calibri" w:cs="Calibri" w:eastAsia="Calibri" w:hAnsi="Calibri"/>
          <w:sz w:val="22"/>
          <w:szCs w:val="22"/>
        </w:rPr>
        <w:t xml:space="preserve">(typically 80–100 simulated steps) that we can collect statistically meaningful data within </w:t>
      </w:r>
      <w:r>
        <w:rPr>
          <w:rFonts w:ascii="Calibri" w:cs="Calibri" w:eastAsia="Calibri" w:hAnsi="Calibri"/>
          <w:sz w:val="22"/>
          <w:szCs w:val="22"/>
        </w:rPr>
        <w:t xml:space="preserve">a 3-hour training budget on consumer-grade GPUs.</w:t>
      </w:r>
    </w:p>
    <w:p>
      <w:pPr>
        <w:pageBreakBefore/>
        <w:pBdr>
          <w:bottom w:val="single" w:color="1F4E79" w:sz="16" w:space="6"/>
        </w:pBdr>
        <w:spacing w:after="200" w:before="360"/>
      </w:pPr>
      <w:r>
        <w:rPr>
          <w:rFonts w:ascii="Calibri" w:cs="Calibri" w:eastAsia="Calibri" w:hAnsi="Calibri"/>
          <w:b/>
          <w:bCs/>
          <w:color w:val="1F4E79"/>
          <w:sz w:val="18"/>
          <w:szCs w:val="18"/>
        </w:rPr>
        <w:t xml:space="preserve">SLIDE 2</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Motivation: Why HIL-SERL</w:t>
      </w:r>
      <w:r>
        <w:rPr>
          <w:rFonts w:ascii="Calibri" w:cs="Calibri" w:eastAsia="Calibri" w:hAnsi="Calibri"/>
          <w:color w:val="808080"/>
          <w:sz w:val="16"/>
          <w:szCs w:val="16"/>
        </w:rPr>
        <w:t xml:space="preserve">   (1:15)</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A three-column comparison table contrasts Pure Reinforcement Learning, Pure Imitation Learning, and the Hybrid / Offline RL approach (HIL-SERL) along three dimensions: sample efficiency, safety, and performance. References to Haarnoja 2018 (SAC), Zhao 2023 (bimanual manipulation), and Luo 2024 (SERL) appear at the bottom.</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Robotic manipulation is widely considered intractable for pure reinforcement learning. Pure RL needs millions of random environment interactions, which is unsafe on real hardware and slow even in simulation. Pure imitation learning is data-efficient but fundamentally bounded by the demonstrator’s skill — it rarely exceeds the human teacher.</w:t>
      </w:r>
    </w:p>
    <w:p>
      <w:pPr>
        <w:pBdr>
          <w:left w:val="single" w:color="2E75B6" w:sz="16" w:space="12"/>
        </w:pBdr>
        <w:spacing w:after="140" w:before="60"/>
        <w:ind w:left="480" w:right="480"/>
      </w:pPr>
      <w:r>
        <w:rPr>
          <w:rFonts w:ascii="Calibri" w:cs="Calibri" w:eastAsia="Calibri" w:hAnsi="Calibri"/>
          <w:i/>
          <w:iCs/>
          <w:color w:val="404040"/>
          <w:sz w:val="22"/>
          <w:szCs w:val="22"/>
        </w:rPr>
        <w:t xml:space="preserve">HIL-SERL takes a third path. It combines three classical ideas into a tightly engineered system: an offline buffer of human demonstrations to bootstrap the value function, online Soft Actor-Critic updates that allow the policy to keep improving, and real-time human interventions that act both as safety guards and exploration shortcuts. The result, as reported by Luo et al., is one hundred percent success on contact-rich tasks within one to two hours of physical training. That claim is what motivated this project: can we actually replicate it, and what does it take to make the system work?</w:t>
      </w:r>
    </w:p>
    <w:p>
      <w:pPr>
        <w:spacing w:after="100" w:before="240"/>
      </w:pPr>
      <w:r>
        <w:rPr>
          <w:rFonts w:ascii="Calibri" w:cs="Calibri" w:eastAsia="Calibri" w:hAnsi="Calibri"/>
          <w:b/>
          <w:bCs/>
          <w:color w:val="C56500"/>
          <w:sz w:val="22"/>
          <w:szCs w:val="22"/>
        </w:rPr>
        <w:t xml:space="preserve">Technical depth</w:t>
      </w:r>
    </w:p>
    <w:p>
      <w:pPr>
        <w:spacing w:after="120" w:line="320"/>
        <w:jc w:val="both"/>
      </w:pPr>
      <w:r>
        <w:rPr>
          <w:rFonts w:ascii="Calibri" w:cs="Calibri" w:eastAsia="Calibri" w:hAnsi="Calibri"/>
          <w:sz w:val="22"/>
          <w:szCs w:val="22"/>
        </w:rPr>
        <w:t xml:space="preserve">The reward signal in HIL-SERL is sparse and binary by default: one when the cube is lifted above a threshold, zero otherwise. The exploration burden, which is normally the bottleneck of sparse-reward RL, is shifted onto the human operator. When the policy stalls, the human presses an intervention button and steers the robot to a successful state; this transition is recorded into both the online and offline buffers. Mathematically, this corresponds to RLPD-style 50/50 buffer mixing, where each gradient batch contains an equal split of demonstrations and online experience. The intervention transitions enter both buffers, amplifying their influence.</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Why not just pure imitation learning if you have a human in the loop?</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Imitation alone caps the policy at the demonstrator’s skill and suffers from compounding </w:t>
      </w:r>
      <w:r>
        <w:rPr>
          <w:rFonts w:ascii="Calibri" w:cs="Calibri" w:eastAsia="Calibri" w:hAnsi="Calibri"/>
          <w:sz w:val="22"/>
          <w:szCs w:val="22"/>
        </w:rPr>
        <w:t xml:space="preserve">error during deployment — DAgger and HG-DAgger were proposed to address exactly this. </w:t>
      </w:r>
      <w:r>
        <w:rPr>
          <w:rFonts w:ascii="Calibri" w:cs="Calibri" w:eastAsia="Calibri" w:hAnsi="Calibri"/>
          <w:sz w:val="22"/>
          <w:szCs w:val="22"/>
        </w:rPr>
        <w:t xml:space="preserve">HIL-SERL takes the further step of allowing the policy to keep improving with online RL </w:t>
      </w:r>
      <w:r>
        <w:rPr>
          <w:rFonts w:ascii="Calibri" w:cs="Calibri" w:eastAsia="Calibri" w:hAnsi="Calibri"/>
          <w:sz w:val="22"/>
          <w:szCs w:val="22"/>
        </w:rPr>
        <w:t xml:space="preserve">after the human reduces intervention. The intervention frequency is highest at the start </w:t>
      </w:r>
      <w:r>
        <w:rPr>
          <w:rFonts w:ascii="Calibri" w:cs="Calibri" w:eastAsia="Calibri" w:hAnsi="Calibri"/>
          <w:sz w:val="22"/>
          <w:szCs w:val="22"/>
        </w:rPr>
        <w:t xml:space="preserve">and tapers as the policy improves, reaching about ten to twenty percent by convergence.</w:t>
      </w:r>
    </w:p>
    <w:p>
      <w:pPr>
        <w:pageBreakBefore/>
        <w:pBdr>
          <w:bottom w:val="single" w:color="1F4E79" w:sz="16" w:space="6"/>
        </w:pBdr>
        <w:spacing w:after="200" w:before="360"/>
      </w:pPr>
      <w:r>
        <w:rPr>
          <w:rFonts w:ascii="Calibri" w:cs="Calibri" w:eastAsia="Calibri" w:hAnsi="Calibri"/>
          <w:b/>
          <w:bCs/>
          <w:color w:val="1F4E79"/>
          <w:sz w:val="18"/>
          <w:szCs w:val="18"/>
        </w:rPr>
        <w:t xml:space="preserve">SLIDE 3</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HIL-SERL Method Overview</w:t>
      </w:r>
      <w:r>
        <w:rPr>
          <w:rFonts w:ascii="Calibri" w:cs="Calibri" w:eastAsia="Calibri" w:hAnsi="Calibri"/>
          <w:color w:val="808080"/>
          <w:sz w:val="16"/>
          <w:szCs w:val="16"/>
        </w:rPr>
        <w:t xml:space="preserve">   (1:30)</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A two-process diagram. Left box is the Actor process with five steps: policy execution, human intervention detection, data streaming to learner, weight reception. Right box is the Learner process with three steps: 50/50 buffer mixing, network update, weight push to actor. Between them is a gRPC channel labelled with bidirectional arrows for weights and transitions. Underneath are the three SAC loss formulae for critic, actor, and temperature.</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HIL-SERL uses a distributed actor-learner architecture, communicating through gRPC. The Actor process runs in the environment at the robot’s control frequency — ten Hertz in our setup. It executes the current policy, collects state-action-reward-next-state tuples, and detects when the human intervenes via the Touch device. Episodic data is streamed asynchronously to the Learner.</w:t>
      </w:r>
    </w:p>
    <w:p>
      <w:pPr>
        <w:pBdr>
          <w:left w:val="single" w:color="2E75B6" w:sz="16" w:space="12"/>
        </w:pBdr>
        <w:spacing w:after="140" w:before="60"/>
        <w:ind w:left="480" w:right="480"/>
      </w:pPr>
      <w:r>
        <w:rPr>
          <w:rFonts w:ascii="Calibri" w:cs="Calibri" w:eastAsia="Calibri" w:hAnsi="Calibri"/>
          <w:i/>
          <w:iCs/>
          <w:color w:val="404040"/>
          <w:sz w:val="22"/>
          <w:szCs w:val="22"/>
        </w:rPr>
        <w:t xml:space="preserve">The Learner maintains the replay buffer and samples training batches in a fifty-fifty mix of online experience and offline demonstrations. It performs SAC updates with a critic ensemble — in our case ten critics, following the REDQ design — and pushes updated weights back to the Actor.</w:t>
      </w:r>
    </w:p>
    <w:p>
      <w:pPr>
        <w:pBdr>
          <w:left w:val="single" w:color="2E75B6" w:sz="16" w:space="12"/>
        </w:pBdr>
        <w:spacing w:after="140" w:before="60"/>
        <w:ind w:left="480" w:right="480"/>
      </w:pPr>
      <w:r>
        <w:rPr>
          <w:rFonts w:ascii="Calibri" w:cs="Calibri" w:eastAsia="Calibri" w:hAnsi="Calibri"/>
          <w:i/>
          <w:iCs/>
          <w:color w:val="404040"/>
          <w:sz w:val="22"/>
          <w:szCs w:val="22"/>
        </w:rPr>
        <w:t xml:space="preserve">At the algorithmic core is Soft Actor-Critic. The actor loss balances the entropy term alpha times log-pi against the Q-value: actor_loss equals alpha log-pi minus Q. The critic minimises the Bellman temporal difference error against a target critic, and the temperature alpha is automatically tuned to match a target entropy. This last mechanism is what gives SAC its known robustness to hyperparameter choice — provided the Q-values are large enough that they actually drive the actor gradient, which becomes a central concern in our V1 versus V2 comparison.</w:t>
      </w:r>
    </w:p>
    <w:p>
      <w:pPr>
        <w:spacing w:after="100" w:before="240"/>
      </w:pPr>
      <w:r>
        <w:rPr>
          <w:rFonts w:ascii="Calibri" w:cs="Calibri" w:eastAsia="Calibri" w:hAnsi="Calibri"/>
          <w:b/>
          <w:bCs/>
          <w:color w:val="C56500"/>
          <w:sz w:val="22"/>
          <w:szCs w:val="22"/>
        </w:rPr>
        <w:t xml:space="preserve">Technical depth</w:t>
      </w:r>
    </w:p>
    <w:p>
      <w:pPr>
        <w:spacing w:after="120" w:line="320"/>
        <w:jc w:val="both"/>
      </w:pPr>
      <w:r>
        <w:rPr>
          <w:rFonts w:ascii="Calibri" w:cs="Calibri" w:eastAsia="Calibri" w:hAnsi="Calibri"/>
          <w:sz w:val="22"/>
          <w:szCs w:val="22"/>
        </w:rPr>
        <w:t xml:space="preserve">The three SAC loss equations on the slide:</w:t>
      </w:r>
    </w:p>
    <w:p>
      <w:pPr>
        <w:shd w:fill="F2F2F2" w:val="clear"/>
        <w:spacing w:after="120" w:before="60"/>
        <w:ind w:left="360"/>
      </w:pPr>
      <w:r>
        <w:rPr>
          <w:rFonts w:ascii="Consolas" w:cs="Consolas" w:eastAsia="Consolas" w:hAnsi="Consolas"/>
          <w:sz w:val="20"/>
          <w:szCs w:val="20"/>
        </w:rPr>
        <w:t xml:space="preserve">L_critic    = E[ (Q(s,a) - (r + γ · Q'(s', π(s'))))² ]</w:t>
      </w:r>
    </w:p>
    <w:p>
      <w:pPr>
        <w:shd w:fill="F2F2F2" w:val="clear"/>
        <w:spacing w:after="120" w:before="60"/>
        <w:ind w:left="360"/>
      </w:pPr>
      <w:r>
        <w:rPr>
          <w:rFonts w:ascii="Consolas" w:cs="Consolas" w:eastAsia="Consolas" w:hAnsi="Consolas"/>
          <w:sz w:val="20"/>
          <w:szCs w:val="20"/>
        </w:rPr>
        <w:t xml:space="preserve">L_actor     = E[ α · log π(a|s) - Q(s,a) ]</w:t>
      </w:r>
    </w:p>
    <w:p>
      <w:pPr>
        <w:shd w:fill="F2F2F2" w:val="clear"/>
        <w:spacing w:after="120" w:before="60"/>
        <w:ind w:left="360"/>
      </w:pPr>
      <w:r>
        <w:rPr>
          <w:rFonts w:ascii="Consolas" w:cs="Consolas" w:eastAsia="Consolas" w:hAnsi="Consolas"/>
          <w:sz w:val="20"/>
          <w:szCs w:val="20"/>
        </w:rPr>
        <w:t xml:space="preserve">L_temp      = E[ -α · (log π(a|s) + H̄) ]</w:t>
      </w:r>
    </w:p>
    <w:p>
      <w:pPr>
        <w:spacing w:after="120" w:line="320"/>
        <w:jc w:val="both"/>
      </w:pPr>
      <w:r>
        <w:rPr>
          <w:rFonts w:ascii="Calibri" w:cs="Calibri" w:eastAsia="Calibri" w:hAnsi="Calibri"/>
          <w:sz w:val="22"/>
          <w:szCs w:val="22"/>
        </w:rPr>
        <w:t xml:space="preserve">Three implementation details deserve emphasis. (1) The actor uses a tanh-squashed Gaussian policy, ensuring that actions stay in the bounded action space without manual clipping. (2) The target critic update uses Polyak averaging with τ = 0.005, the standard SAC value. (3) The target entropy H̄ is set to negative half the action dimension (−d/2 = −3.5 for our 7-DoF action), which encourages exploration without requiring manual tuning.</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Why use a separate actor and learner process?</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Three reasons. First, the actor must run at the robot’s control frequency without being </w:t>
      </w:r>
      <w:r>
        <w:rPr>
          <w:rFonts w:ascii="Calibri" w:cs="Calibri" w:eastAsia="Calibri" w:hAnsi="Calibri"/>
          <w:sz w:val="22"/>
          <w:szCs w:val="22"/>
        </w:rPr>
        <w:t xml:space="preserve">blocked by gradient computation. Second, the learner can perform large-batch GPU updates </w:t>
      </w:r>
      <w:r>
        <w:rPr>
          <w:rFonts w:ascii="Calibri" w:cs="Calibri" w:eastAsia="Calibri" w:hAnsi="Calibri"/>
          <w:sz w:val="22"/>
          <w:szCs w:val="22"/>
        </w:rPr>
        <w:t xml:space="preserve">efficiently without competing for environment-stepping resources. Third, human </w:t>
      </w:r>
      <w:r>
        <w:rPr>
          <w:rFonts w:ascii="Calibri" w:cs="Calibri" w:eastAsia="Calibri" w:hAnsi="Calibri"/>
          <w:sz w:val="22"/>
          <w:szCs w:val="22"/>
        </w:rPr>
        <w:t xml:space="preserve">intervention can be cleanly separated from policy actions in the data stream, allowing </w:t>
      </w:r>
      <w:r>
        <w:rPr>
          <w:rFonts w:ascii="Calibri" w:cs="Calibri" w:eastAsia="Calibri" w:hAnsi="Calibri"/>
          <w:sz w:val="22"/>
          <w:szCs w:val="22"/>
        </w:rPr>
        <w:t xml:space="preserve">downstream filtering and analysis. The cost is the engineering complexity of gRPC </w:t>
      </w:r>
      <w:r>
        <w:rPr>
          <w:rFonts w:ascii="Calibri" w:cs="Calibri" w:eastAsia="Calibri" w:hAnsi="Calibri"/>
          <w:sz w:val="22"/>
          <w:szCs w:val="22"/>
        </w:rPr>
        <w:t xml:space="preserve">synchronization, which is a significant portion of my engineering contribution.</w:t>
      </w:r>
    </w:p>
    <w:p>
      <w:pPr>
        <w:pageBreakBefore/>
        <w:pBdr>
          <w:bottom w:val="single" w:color="1F4E79" w:sz="16" w:space="6"/>
        </w:pBdr>
        <w:spacing w:after="200" w:before="360"/>
      </w:pPr>
      <w:r>
        <w:rPr>
          <w:rFonts w:ascii="Calibri" w:cs="Calibri" w:eastAsia="Calibri" w:hAnsi="Calibri"/>
          <w:b/>
          <w:bCs/>
          <w:color w:val="1F4E79"/>
          <w:sz w:val="18"/>
          <w:szCs w:val="18"/>
        </w:rPr>
        <w:t xml:space="preserve">SLIDE 4</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Engineering Contributions and Bug Analysis</w:t>
      </w:r>
      <w:r>
        <w:rPr>
          <w:rFonts w:ascii="Calibri" w:cs="Calibri" w:eastAsia="Calibri" w:hAnsi="Calibri"/>
          <w:color w:val="808080"/>
          <w:sz w:val="16"/>
          <w:szCs w:val="16"/>
        </w:rPr>
        <w:t xml:space="preserve">   (2:00)</w:t>
      </w:r>
    </w:p>
    <w:p>
      <w:pPr>
        <w:spacing w:after="100" w:before="240"/>
      </w:pPr>
      <w:r>
        <w:rPr>
          <w:rFonts w:ascii="Calibri" w:cs="Calibri" w:eastAsia="Calibri" w:hAnsi="Calibri"/>
          <w:b/>
          <w:bCs/>
          <w:color w:val="C56500"/>
          <w:sz w:val="22"/>
          <w:szCs w:val="22"/>
        </w:rPr>
        <w:t xml:space="preserve">Slide visual (proposed content to add)</w:t>
      </w:r>
    </w:p>
    <w:p>
      <w:pPr>
        <w:spacing w:after="120" w:line="320"/>
        <w:jc w:val="both"/>
      </w:pPr>
      <w:r>
        <w:rPr>
          <w:rFonts w:ascii="Calibri" w:cs="Calibri" w:eastAsia="Calibri" w:hAnsi="Calibri"/>
          <w:sz w:val="22"/>
          <w:szCs w:val="22"/>
        </w:rPr>
        <w:t xml:space="preserve">This slide is currently a placeholder. Below is the full content to be inserted. Recommended layout: a four-quadrant grid. Top-left: critical bugs found in public implementations. Top-right: fixes applied. Bottom-left: paper-grade logging system. Bottom-right: A100 heavy-compute upgrade and DRQ augmentation.</w:t>
      </w:r>
    </w:p>
    <w:p>
      <w:pPr>
        <w:pStyle w:val="Heading3"/>
        <w:spacing w:after="100" w:before="180"/>
      </w:pPr>
      <w:r>
        <w:rPr>
          <w:rFonts w:ascii="Calibri" w:cs="Calibri" w:eastAsia="Calibri" w:hAnsi="Calibri"/>
          <w:b/>
          <w:bCs/>
          <w:i/>
          <w:iCs/>
          <w:color w:val="404040"/>
          <w:sz w:val="22"/>
          <w:szCs w:val="22"/>
        </w:rPr>
        <w:t xml:space="preserve">Quadrant 1 — Five critical bugs in public HIL-SERL implementations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16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Bug</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Symptom</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Root cause</w:t>
            </w:r>
          </w:p>
        </w:tc>
        <w:tc>
          <w:tcPr>
            <w:tcW w:type="dxa" w:w="1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Severity</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Entropy domination</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Policy collapses to random actions; reward never rises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Q ≈ 0.3 vs |α·log π| ≈ 6 (twenty times larger)</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9E1B32"/>
                <w:sz w:val="18"/>
                <w:szCs w:val="18"/>
              </w:rPr>
              <w:t xml:space="preserve">CRITICAL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Intervention untracked</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All episodes flagged as intervention regardless of input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clutch_mode=True default in TouchTeleop</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9E1B32"/>
                <w:sz w:val="18"/>
                <w:szCs w:val="18"/>
              </w:rPr>
              <w:t xml:space="preserve">CRITICAL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Learner OOM crash</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Training stops at 1.4 hours; no recovery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No exception handling for CUDA OOM</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HIGH</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Warmup deadlock</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training_metrics.csv stays empty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online_step_before_learning &gt; episode_length</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HIGH</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Output dir mismatch</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Actor and Learner write to different directories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output_dir: null causes per-process timestamping</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18"/>
                <w:szCs w:val="18"/>
              </w:rPr>
              <w:t xml:space="preserve">MEDIUM</w:t>
            </w:r>
          </w:p>
        </w:tc>
      </w:tr>
    </w:tbl>
    <w:p>
      <w:pPr>
        <w:spacing w:after="200" w:before="60"/>
        <w:jc w:val="center"/>
      </w:pPr>
      <w:r>
        <w:rPr>
          <w:rFonts w:ascii="Calibri" w:cs="Calibri" w:eastAsia="Calibri" w:hAnsi="Calibri"/>
          <w:i/>
          <w:iCs/>
          <w:color w:val="595959"/>
          <w:sz w:val="18"/>
          <w:szCs w:val="18"/>
        </w:rPr>
        <w:t xml:space="preserve">Five critical bugs identified through root-cause analysis. All fixed in V1 and V2.</w:t>
      </w:r>
    </w:p>
    <w:p>
      <w:pPr>
        <w:pStyle w:val="Heading3"/>
        <w:spacing w:after="100" w:before="180"/>
      </w:pPr>
      <w:r>
        <w:rPr>
          <w:rFonts w:ascii="Calibri" w:cs="Calibri" w:eastAsia="Calibri" w:hAnsi="Calibri"/>
          <w:b/>
          <w:bCs/>
          <w:i/>
          <w:iCs/>
          <w:color w:val="404040"/>
          <w:sz w:val="22"/>
          <w:szCs w:val="22"/>
        </w:rPr>
        <w:t xml:space="preserve">Quadrant 2 — Engineering fixes</w:t>
      </w:r>
    </w:p>
    <w:p>
      <w:pPr>
        <w:pStyle w:val="ListParagraph"/>
        <w:numPr>
          <w:ilvl w:val="0"/>
          <w:numId w:val="2"/>
        </w:numPr>
        <w:spacing w:after="60" w:line="280"/>
      </w:pPr>
      <w:r>
        <w:rPr>
          <w:rFonts w:ascii="Calibri" w:cs="Calibri" w:eastAsia="Calibri" w:hAnsi="Calibri"/>
          <w:sz w:val="22"/>
          <w:szCs w:val="22"/>
        </w:rPr>
        <w:t xml:space="preserve">Mid-episode transition streaming. The Actor sends transitions in batches of 50 rather than waiting for episode end. This eliminates the warmup deadlock by allowing the Learner to start training within the first episode.</w:t>
      </w:r>
    </w:p>
    <w:p>
      <w:pPr>
        <w:pStyle w:val="ListParagraph"/>
        <w:numPr>
          <w:ilvl w:val="0"/>
          <w:numId w:val="2"/>
        </w:numPr>
        <w:spacing w:after="60" w:line="280"/>
      </w:pPr>
      <w:r>
        <w:rPr>
          <w:rFonts w:ascii="Calibri" w:cs="Calibri" w:eastAsia="Calibri" w:hAnsi="Calibri"/>
          <w:sz w:val="22"/>
          <w:szCs w:val="22"/>
        </w:rPr>
        <w:t xml:space="preserve">Shutdown-safe data flush. The Actor flushes any pending transitions to the Learner before process exit, preventing data loss on Ctrl+C.</w:t>
      </w:r>
    </w:p>
    <w:p>
      <w:pPr>
        <w:pStyle w:val="ListParagraph"/>
        <w:numPr>
          <w:ilvl w:val="0"/>
          <w:numId w:val="2"/>
        </w:numPr>
        <w:spacing w:after="60" w:line="280"/>
      </w:pPr>
      <w:r>
        <w:rPr>
          <w:rFonts w:ascii="Calibri" w:cs="Calibri" w:eastAsia="Calibri" w:hAnsi="Calibri"/>
          <w:sz w:val="22"/>
          <w:szCs w:val="22"/>
        </w:rPr>
        <w:t xml:space="preserve">CUDA OOM exception handling. The Learner now catches torch.cuda.OutOfMemoryError, saves the training summary, and exits gracefully — no more silent process death after 1.4 hours.</w:t>
      </w:r>
    </w:p>
    <w:p>
      <w:pPr>
        <w:pStyle w:val="ListParagraph"/>
        <w:numPr>
          <w:ilvl w:val="0"/>
          <w:numId w:val="2"/>
        </w:numPr>
        <w:spacing w:after="60" w:line="280"/>
      </w:pPr>
      <w:r>
        <w:rPr>
          <w:rFonts w:ascii="Calibri" w:cs="Calibri" w:eastAsia="Calibri" w:hAnsi="Calibri"/>
          <w:sz w:val="22"/>
          <w:szCs w:val="22"/>
        </w:rPr>
        <w:t xml:space="preserve">Intervention pipeline correction. The clutch_mode default was flipped to False, so the Touch Button 1 correctly triggers the IS_INTERVENTION flag instead of marking every step as intervention.</w:t>
      </w:r>
    </w:p>
    <w:p>
      <w:pPr>
        <w:pStyle w:val="ListParagraph"/>
        <w:numPr>
          <w:ilvl w:val="0"/>
          <w:numId w:val="2"/>
        </w:numPr>
        <w:spacing w:after="60" w:line="280"/>
      </w:pPr>
      <w:r>
        <w:rPr>
          <w:rFonts w:ascii="Calibri" w:cs="Calibri" w:eastAsia="Calibri" w:hAnsi="Calibri"/>
          <w:sz w:val="22"/>
          <w:szCs w:val="22"/>
        </w:rPr>
        <w:t xml:space="preserve">Fixed output directory. Both Actor and Learner now write to the same outputs/train/paper_run_v1 (or _v2) path, eliminating timestamp mismatch. A pre-flight wrapper script auto-archives stale runs.</w:t>
      </w:r>
    </w:p>
    <w:p>
      <w:pPr>
        <w:pStyle w:val="Heading3"/>
        <w:spacing w:after="100" w:before="180"/>
      </w:pPr>
      <w:r>
        <w:rPr>
          <w:rFonts w:ascii="Calibri" w:cs="Calibri" w:eastAsia="Calibri" w:hAnsi="Calibri"/>
          <w:b/>
          <w:bCs/>
          <w:i/>
          <w:iCs/>
          <w:color w:val="404040"/>
          <w:sz w:val="22"/>
          <w:szCs w:val="22"/>
        </w:rPr>
        <w:t xml:space="preserve">Quadrant 3 — Paper-grade logging system (F1 through F6)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20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Feature</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Output</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F1</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Rolling policy-only success metric</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Success rate over last 20 NO-INTERVENTION episodes — proxy for frozen-policy evaluation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F2</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Rolling success and intervention rates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50-episode sliding windows in episode_metrics.csv</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F3</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Q-value statistics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q_mean, q_std, q_min, q_max in training_metrics.csv (verifies V2 design target Q ≈ 15-40)</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F4</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Experiment metadata snapshot</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Git commit, hostname, GPU model, Python version, full config dump in experiment_metadata.json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F5</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Publication-quality plotting</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plot_paper.py outputs LaTeX-safe vector PDF figures with serif fonts</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F6</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Complete training diagnostics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TD error, target Q, REDQ critic disagreement, raw policy entropy, actor loss decomposition, step latency, GPU memory, episode length, termination reason</w:t>
            </w:r>
          </w:p>
        </w:tc>
      </w:tr>
    </w:tbl>
    <w:p>
      <w:pPr>
        <w:spacing w:after="200" w:before="60"/>
        <w:jc w:val="center"/>
      </w:pPr>
      <w:r>
        <w:rPr>
          <w:rFonts w:ascii="Calibri" w:cs="Calibri" w:eastAsia="Calibri" w:hAnsi="Calibri"/>
          <w:i/>
          <w:iCs/>
          <w:color w:val="595959"/>
          <w:sz w:val="18"/>
          <w:szCs w:val="18"/>
        </w:rPr>
        <w:t xml:space="preserve">Paper-grade data logging features. After F6, training_metrics.csv has 32 columns and episode_metrics.csv has 14 columns — sufficient for every figure a paper would need.</w:t>
      </w:r>
    </w:p>
    <w:p>
      <w:pPr>
        <w:pStyle w:val="Heading3"/>
        <w:spacing w:after="100" w:before="180"/>
      </w:pPr>
      <w:r>
        <w:rPr>
          <w:rFonts w:ascii="Calibri" w:cs="Calibri" w:eastAsia="Calibri" w:hAnsi="Calibri"/>
          <w:b/>
          <w:bCs/>
          <w:i/>
          <w:iCs/>
          <w:color w:val="404040"/>
          <w:sz w:val="22"/>
          <w:szCs w:val="22"/>
        </w:rPr>
        <w:t xml:space="preserve">Quadrant 4 — A100 heavy-compute upgrade and DRQ augmentation</w:t>
      </w:r>
    </w:p>
    <w:p>
      <w:pPr>
        <w:spacing w:after="120" w:line="320"/>
        <w:jc w:val="both"/>
      </w:pPr>
      <w:r>
        <w:rPr>
          <w:rFonts w:ascii="Calibri" w:cs="Calibri" w:eastAsia="Calibri" w:hAnsi="Calibri"/>
          <w:sz w:val="22"/>
          <w:szCs w:val="22"/>
        </w:rPr>
        <w:t xml:space="preserve">When the project moved from RTX 3060 to A100 80GB, </w:t>
      </w:r>
      <w:r>
        <w:rPr>
          <w:rFonts w:ascii="Calibri" w:cs="Calibri" w:eastAsia="Calibri" w:hAnsi="Calibri"/>
          <w:b/>
          <w:bCs/>
          <w:sz w:val="22"/>
          <w:szCs w:val="22"/>
        </w:rPr>
        <w:t xml:space="preserve">seven hyperparameters</w:t>
      </w:r>
      <w:r>
        <w:rPr>
          <w:rFonts w:ascii="Calibri" w:cs="Calibri" w:eastAsia="Calibri" w:hAnsi="Calibri"/>
          <w:sz w:val="22"/>
          <w:szCs w:val="22"/>
        </w:rPr>
        <w:t xml:space="preserve"> were upgraded to bring the system to parity with the hil-serl-sim reference implementation:</w:t>
      </w:r>
    </w:p>
    <w:p>
      <w:pPr>
        <w:pStyle w:val="ListParagraph"/>
        <w:numPr>
          <w:ilvl w:val="0"/>
          <w:numId w:val="2"/>
        </w:numPr>
        <w:spacing w:after="60" w:line="280"/>
      </w:pPr>
      <w:r>
        <w:rPr>
          <w:rFonts w:ascii="Calibri" w:cs="Calibri" w:eastAsia="Calibri" w:hAnsi="Calibri"/>
          <w:sz w:val="22"/>
          <w:szCs w:val="22"/>
        </w:rPr>
        <w:t xml:space="preserve">REDQ critic ensemble: num_critics from 2 to 10 with subsample size 2 — five times the value-function diversity</w:t>
      </w:r>
    </w:p>
    <w:p>
      <w:pPr>
        <w:pStyle w:val="ListParagraph"/>
        <w:numPr>
          <w:ilvl w:val="0"/>
          <w:numId w:val="2"/>
        </w:numPr>
        <w:spacing w:after="60" w:line="280"/>
      </w:pPr>
      <w:r>
        <w:rPr>
          <w:rFonts w:ascii="Calibri" w:cs="Calibri" w:eastAsia="Calibri" w:hAnsi="Calibri"/>
          <w:sz w:val="22"/>
          <w:szCs w:val="22"/>
        </w:rPr>
        <w:t xml:space="preserve">Update-to-data ratio: utd_ratio from 2 to 8 — four times more critic updates per environment step</w:t>
      </w:r>
    </w:p>
    <w:p>
      <w:pPr>
        <w:pStyle w:val="ListParagraph"/>
        <w:numPr>
          <w:ilvl w:val="0"/>
          <w:numId w:val="2"/>
        </w:numPr>
        <w:spacing w:after="60" w:line="280"/>
      </w:pPr>
      <w:r>
        <w:rPr>
          <w:rFonts w:ascii="Calibri" w:cs="Calibri" w:eastAsia="Calibri" w:hAnsi="Calibri"/>
          <w:sz w:val="22"/>
          <w:szCs w:val="22"/>
        </w:rPr>
        <w:t xml:space="preserve">Batch size: 128 to 256, network width [256, 256] to [512, 512]</w:t>
      </w:r>
    </w:p>
    <w:p>
      <w:pPr>
        <w:pStyle w:val="ListParagraph"/>
        <w:numPr>
          <w:ilvl w:val="0"/>
          <w:numId w:val="2"/>
        </w:numPr>
        <w:spacing w:after="60" w:line="280"/>
      </w:pPr>
      <w:r>
        <w:rPr>
          <w:rFonts w:ascii="Calibri" w:cs="Calibri" w:eastAsia="Calibri" w:hAnsi="Calibri"/>
          <w:sz w:val="22"/>
          <w:szCs w:val="22"/>
        </w:rPr>
        <w:t xml:space="preserve">Vision encoder: unfrozen so the ResNet-10 can adapt to manipulation viewpoints</w:t>
      </w:r>
    </w:p>
    <w:p>
      <w:pPr>
        <w:pStyle w:val="ListParagraph"/>
        <w:numPr>
          <w:ilvl w:val="0"/>
          <w:numId w:val="2"/>
        </w:numPr>
        <w:spacing w:after="60" w:line="280"/>
      </w:pPr>
      <w:r>
        <w:rPr>
          <w:rFonts w:ascii="Calibri" w:cs="Calibri" w:eastAsia="Calibri" w:hAnsi="Calibri"/>
          <w:sz w:val="22"/>
          <w:szCs w:val="22"/>
        </w:rPr>
        <w:t xml:space="preserve">Replay buffer: 200K to 500K capacity with async prefetch for GPU pipeline efficiency</w:t>
      </w:r>
    </w:p>
    <w:p>
      <w:pPr>
        <w:pStyle w:val="ListParagraph"/>
        <w:numPr>
          <w:ilvl w:val="0"/>
          <w:numId w:val="2"/>
        </w:numPr>
        <w:spacing w:after="60" w:line="280"/>
      </w:pPr>
      <w:r>
        <w:rPr>
          <w:rFonts w:ascii="Calibri" w:cs="Calibri" w:eastAsia="Calibri" w:hAnsi="Calibri"/>
          <w:sz w:val="22"/>
          <w:szCs w:val="22"/>
        </w:rPr>
        <w:t xml:space="preserve">DRQ-v2 random shift augmentation (pad=6) on every training image — actor and critic see independently augmented views, preventing visual overfitting</w:t>
      </w:r>
    </w:p>
    <w:p>
      <w:pPr>
        <w:pStyle w:val="ListParagraph"/>
        <w:numPr>
          <w:ilvl w:val="0"/>
          <w:numId w:val="2"/>
        </w:numPr>
        <w:spacing w:after="60" w:line="280"/>
      </w:pPr>
      <w:r>
        <w:rPr>
          <w:rFonts w:ascii="Calibri" w:cs="Calibri" w:eastAsia="Calibri" w:hAnsi="Calibri"/>
          <w:sz w:val="22"/>
          <w:szCs w:val="22"/>
        </w:rPr>
        <w:t xml:space="preserve">Output directory fixed to a stable path so all run data lands in one place</w:t>
      </w:r>
    </w:p>
    <w:p>
      <w:pPr>
        <w:spacing w:after="120" w:line="320"/>
        <w:jc w:val="both"/>
      </w:pPr>
      <w:r>
        <w:rPr>
          <w:rFonts w:ascii="Calibri" w:cs="Calibri" w:eastAsia="Calibri" w:hAnsi="Calibri"/>
          <w:sz w:val="22"/>
          <w:szCs w:val="22"/>
        </w:rPr>
        <w:t xml:space="preserve">Peak GPU memory under this configuration is approximately 25–30 GB, well within the A100 80 GB envelope. Expected wall-clock time to convergence is now 1 to 2 hours — competitive with the reference implementation’s reported one-hour figure.</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When I first attempted to replicate HIL-SERL, the system failed to converge for reasons that no published paper would consider worth discussing. I want to spend two minutes documenting what those failures looked like, because they are typical of public RL implementations and reproducibility work is itself a research contribution.</w:t>
      </w:r>
    </w:p>
    <w:p>
      <w:pPr>
        <w:pBdr>
          <w:left w:val="single" w:color="2E75B6" w:sz="16" w:space="12"/>
        </w:pBdr>
        <w:spacing w:after="140" w:before="60"/>
        <w:ind w:left="480" w:right="480"/>
      </w:pPr>
      <w:r>
        <w:rPr>
          <w:rFonts w:ascii="Calibri" w:cs="Calibri" w:eastAsia="Calibri" w:hAnsi="Calibri"/>
          <w:i/>
          <w:iCs/>
          <w:color w:val="404040"/>
          <w:sz w:val="22"/>
          <w:szCs w:val="22"/>
        </w:rPr>
        <w:t xml:space="preserve">The most fundamental issue was entropy domination. SAC’s actor loss is alpha log-pi minus Q. With Q values around 0.3 and the entropy term around 6, the policy gradient was entirely driven by entropy maximization, not the task. The agent learned to be random, not to pick up cubes. The fix required realigning seven hyperparameters with a known-good reference, hil-serl-sim, plus the V2 dense reward design that we will see in two slides.</w:t>
      </w:r>
    </w:p>
    <w:p>
      <w:pPr>
        <w:pBdr>
          <w:left w:val="single" w:color="2E75B6" w:sz="16" w:space="12"/>
        </w:pBdr>
        <w:spacing w:after="140" w:before="60"/>
        <w:ind w:left="480" w:right="480"/>
      </w:pPr>
      <w:r>
        <w:rPr>
          <w:rFonts w:ascii="Calibri" w:cs="Calibri" w:eastAsia="Calibri" w:hAnsi="Calibri"/>
          <w:i/>
          <w:iCs/>
          <w:color w:val="404040"/>
          <w:sz w:val="22"/>
          <w:szCs w:val="22"/>
        </w:rPr>
        <w:t xml:space="preserve">Beyond bug fixes, I built a paper-grade logging system covering thirty-two diagnostic fields per training step — everything from TD error and critic ensemble disagreement, to GPU memory peak, to per-episode termination reason. This means the figures in my final report can be regenerated mechanically from CSV files, not pieced together from screenshots. Finally, when an A100 became available, I upgraded the system with REDQ-10, UTD-8, and DRQ-v2 augmentation, bringing it to full parity with the published reference.</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Are these bugs really critical or just minor reproducibility annoyances?</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The first two are blockers — without fixing them, the system literally never learns. </w:t>
      </w:r>
      <w:r>
        <w:rPr>
          <w:rFonts w:ascii="Calibri" w:cs="Calibri" w:eastAsia="Calibri" w:hAnsi="Calibri"/>
          <w:sz w:val="22"/>
          <w:szCs w:val="22"/>
        </w:rPr>
        <w:t xml:space="preserve">The next two prevent training from completing or being analyzed. The last is a data-loss </w:t>
      </w:r>
      <w:r>
        <w:rPr>
          <w:rFonts w:ascii="Calibri" w:cs="Calibri" w:eastAsia="Calibri" w:hAnsi="Calibri"/>
          <w:sz w:val="22"/>
          <w:szCs w:val="22"/>
        </w:rPr>
        <w:t xml:space="preserve">issue that destroyed our first two attempted runs. The pattern is consistent: each bug </w:t>
      </w:r>
      <w:r>
        <w:rPr>
          <w:rFonts w:ascii="Calibri" w:cs="Calibri" w:eastAsia="Calibri" w:hAnsi="Calibri"/>
          <w:sz w:val="22"/>
          <w:szCs w:val="22"/>
        </w:rPr>
        <w:t xml:space="preserve">individually looks minor, but their compound effect is that no untouched public </w:t>
      </w:r>
      <w:r>
        <w:rPr>
          <w:rFonts w:ascii="Calibri" w:cs="Calibri" w:eastAsia="Calibri" w:hAnsi="Calibri"/>
          <w:sz w:val="22"/>
          <w:szCs w:val="22"/>
        </w:rPr>
        <w:t xml:space="preserve">implementation we tested converged on the pick-and-lift task.</w:t>
      </w:r>
    </w:p>
    <w:p>
      <w:pPr>
        <w:pageBreakBefore/>
        <w:pBdr>
          <w:bottom w:val="single" w:color="1F4E79" w:sz="16" w:space="6"/>
        </w:pBdr>
        <w:spacing w:after="200" w:before="360"/>
      </w:pPr>
      <w:r>
        <w:rPr>
          <w:rFonts w:ascii="Calibri" w:cs="Calibri" w:eastAsia="Calibri" w:hAnsi="Calibri"/>
          <w:b/>
          <w:bCs/>
          <w:color w:val="1F4E79"/>
          <w:sz w:val="18"/>
          <w:szCs w:val="18"/>
        </w:rPr>
        <w:t xml:space="preserve">SLIDE 5</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V1 — Sparse Reward and Hyperparameter Alignment</w:t>
      </w:r>
      <w:r>
        <w:rPr>
          <w:rFonts w:ascii="Calibri" w:cs="Calibri" w:eastAsia="Calibri" w:hAnsi="Calibri"/>
          <w:color w:val="808080"/>
          <w:sz w:val="16"/>
          <w:szCs w:val="16"/>
        </w:rPr>
        <w:t xml:space="preserve">   (1:15)</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Four blocks. Top-left: design philosophy quote. Top-right: reward formula box reading reward = 1.0 if succeed else 0.0 with gripper penalty −0.02 per toggle. Centre-left: reference panel describing hil-serl-sim’s 100 percent success in 30K steps. Centre-right: seven-row hyperparameter alignment table (discount, target_entropy, learning rates, gradient clip, buffer capacity, warmup steps).</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V1 takes the philosophical position of trusting the framework. If HIL-SERL is correctly engineered, a sparse binary reward should suffice — exploration is provided by humans, and credit assignment is provided by the value function bootstrapped from demonstrations. The reward is therefore one when the cube is lifted above the threshold, zero otherwise, with a small minus 0.02 penalty per gripper toggle to discourage chatter.</w:t>
      </w:r>
    </w:p>
    <w:p>
      <w:pPr>
        <w:pBdr>
          <w:left w:val="single" w:color="2E75B6" w:sz="16" w:space="12"/>
        </w:pBdr>
        <w:spacing w:after="140" w:before="60"/>
        <w:ind w:left="480" w:right="480"/>
      </w:pPr>
      <w:r>
        <w:rPr>
          <w:rFonts w:ascii="Calibri" w:cs="Calibri" w:eastAsia="Calibri" w:hAnsi="Calibri"/>
          <w:i/>
          <w:iCs/>
          <w:color w:val="404040"/>
          <w:sz w:val="22"/>
          <w:szCs w:val="22"/>
        </w:rPr>
        <w:t xml:space="preserve">The actual contribution in V1 is the hyperparameter realignment shown in this table. Each of the seven changes was derived from comparison with a successful public replication called hil-serl-sim. The most consequential are: discount factor from 0.99 to 0.97, which shortens the effective planning horizon for sparse rewards on short episodes; target entropy from null to negative 3.5, which encourages bounded exploration; and gradient clipping from 1.0 to 100, which lets the critic learn five to ten times faster.</w:t>
      </w:r>
    </w:p>
    <w:p>
      <w:pPr>
        <w:spacing w:after="100" w:before="240"/>
      </w:pPr>
      <w:r>
        <w:rPr>
          <w:rFonts w:ascii="Calibri" w:cs="Calibri" w:eastAsia="Calibri" w:hAnsi="Calibri"/>
          <w:b/>
          <w:bCs/>
          <w:color w:val="C56500"/>
          <w:sz w:val="22"/>
          <w:szCs w:val="22"/>
        </w:rPr>
        <w:t xml:space="preserve">Technical depth</w:t>
      </w:r>
    </w:p>
    <w:p>
      <w:pPr>
        <w:spacing w:after="120" w:line="320"/>
        <w:jc w:val="both"/>
      </w:pPr>
      <w:r>
        <w:rPr>
          <w:rFonts w:ascii="Calibri" w:cs="Calibri" w:eastAsia="Calibri" w:hAnsi="Calibri"/>
          <w:sz w:val="22"/>
          <w:szCs w:val="22"/>
        </w:rPr>
        <w:t xml:space="preserve">Why these specific values? The discount factor 0.97 implies an effective horizon of approximately 1/(1−γ) ≈ 33 steps, matching the typical 80–100 step episode length divided by ~3 for the time-to-success ratio. The target entropy of −3.5 = −d/2 is the SAC author’s recommended default — it sets the entropy floor at which the temperature stops adapting. Gradient clipping at 100 versus 1.0 is the largest impact: with sparse rewards, the TD error in early training is large (the policy is bad), and clipping at 1.0 essentially freezes the critic. The reference implementation uses no clipping at all; we set 100 as a safety net while still allowing meaningful gradient flow.</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How do you know V1 hyperparameters will reach the reference’s success rate?</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We have aligned every numerical value with the hil-serl-sim reference, which itself </w:t>
      </w:r>
      <w:r>
        <w:rPr>
          <w:rFonts w:ascii="Calibri" w:cs="Calibri" w:eastAsia="Calibri" w:hAnsi="Calibri"/>
          <w:sz w:val="22"/>
          <w:szCs w:val="22"/>
        </w:rPr>
        <w:t xml:space="preserve">has been demonstrated to reach 100 percent success in 30K steps. The only remaining </w:t>
      </w:r>
      <w:r>
        <w:rPr>
          <w:rFonts w:ascii="Calibri" w:cs="Calibri" w:eastAsia="Calibri" w:hAnsi="Calibri"/>
          <w:sz w:val="22"/>
          <w:szCs w:val="22"/>
        </w:rPr>
        <w:t xml:space="preserve">differences are framework — we use PyTorch instead of JAX — and our larger network </w:t>
      </w:r>
      <w:r>
        <w:rPr>
          <w:rFonts w:ascii="Calibri" w:cs="Calibri" w:eastAsia="Calibri" w:hAnsi="Calibri"/>
          <w:sz w:val="22"/>
          <w:szCs w:val="22"/>
        </w:rPr>
        <w:t xml:space="preserve">(512 hidden vs 256). Both should help rather than hurt. The empirical question of whether </w:t>
      </w:r>
      <w:r>
        <w:rPr>
          <w:rFonts w:ascii="Calibri" w:cs="Calibri" w:eastAsia="Calibri" w:hAnsi="Calibri"/>
          <w:sz w:val="22"/>
          <w:szCs w:val="22"/>
        </w:rPr>
        <w:t xml:space="preserve">we match the reference is what the planned 3-hour A100 runs will answer.</w:t>
      </w:r>
    </w:p>
    <w:p>
      <w:pPr>
        <w:pageBreakBefore/>
        <w:pBdr>
          <w:bottom w:val="single" w:color="1F4E79" w:sz="16" w:space="6"/>
        </w:pBdr>
        <w:spacing w:after="200" w:before="360"/>
      </w:pPr>
      <w:r>
        <w:rPr>
          <w:rFonts w:ascii="Calibri" w:cs="Calibri" w:eastAsia="Calibri" w:hAnsi="Calibri"/>
          <w:b/>
          <w:bCs/>
          <w:color w:val="1F4E79"/>
          <w:sz w:val="18"/>
          <w:szCs w:val="18"/>
        </w:rPr>
        <w:t xml:space="preserve">SLIDE 6</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V2 — Dense Staged Reward Design</w:t>
      </w:r>
      <w:r>
        <w:rPr>
          <w:rFonts w:ascii="Calibri" w:cs="Calibri" w:eastAsia="Calibri" w:hAnsi="Calibri"/>
          <w:color w:val="808080"/>
          <w:sz w:val="16"/>
          <w:szCs w:val="16"/>
        </w:rPr>
        <w:t xml:space="preserve">   (1:15)</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Three numbered stage boxes (Approach 0–3.0, Grasp 0–3.0, Lift 0–4.0) with the corresponding mathematical formulae. Below: the additive success bonus +10.0 and the design target inequality Q ≈ 15–40 ≫ entropy term ≈ 6.</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V2 takes the opposite philosophical position. Instead of relying entirely on human guidance, it provides a continuous reward signal so that Q-values dominate the SAC entropy term and the actor gradient becomes task-driven from the very first training step.</w:t>
      </w:r>
    </w:p>
    <w:p>
      <w:pPr>
        <w:pBdr>
          <w:left w:val="single" w:color="2E75B6" w:sz="16" w:space="12"/>
        </w:pBdr>
        <w:spacing w:after="140" w:before="60"/>
        <w:ind w:left="480" w:right="480"/>
      </w:pPr>
      <w:r>
        <w:rPr>
          <w:rFonts w:ascii="Calibri" w:cs="Calibri" w:eastAsia="Calibri" w:hAnsi="Calibri"/>
          <w:i/>
          <w:iCs/>
          <w:color w:val="404040"/>
          <w:sz w:val="22"/>
          <w:szCs w:val="22"/>
        </w:rPr>
        <w:t xml:space="preserve">The reward function decomposes the task into three additive stages, each producing a per-step reward in the range zero to four, summing to a maximum of ten per step. Stage one is Approach, scored by an inverse-distance kernel — one over one plus five times distance — which preserves gradient signal even when the gripper is twenty centimetres from the cube. Compare this with the conventional exponential decay, which dies at moderate distances: at 20 cm separation, exp(−10·d) gives 0.14, while our kernel gives 0.50, a three and a half times improvement in early-stage learning signal.</w:t>
      </w:r>
    </w:p>
    <w:p>
      <w:pPr>
        <w:pBdr>
          <w:left w:val="single" w:color="2E75B6" w:sz="16" w:space="12"/>
        </w:pBdr>
        <w:spacing w:after="140" w:before="60"/>
        <w:ind w:left="480" w:right="480"/>
      </w:pPr>
      <w:r>
        <w:rPr>
          <w:rFonts w:ascii="Calibri" w:cs="Calibri" w:eastAsia="Calibri" w:hAnsi="Calibri"/>
          <w:i/>
          <w:iCs/>
          <w:color w:val="404040"/>
          <w:sz w:val="22"/>
          <w:szCs w:val="22"/>
        </w:rPr>
        <w:t xml:space="preserve">Stage two is Grasp, with a smooth linear ramp from 8 cm down to 1 cm proximity, plus a lift confirmation bonus when the cube starts moving. Stage three is Lift, proportional to the actual lift height up to a 10 cm target. On top of all three, an additive +10 success bonus fires when the environment reports task completion. The bonus is additive, not overriding — overriding would create a discontinuity in the Q-function at the success boundary, defeating the purpose of dense shaping.</w:t>
      </w:r>
    </w:p>
    <w:p>
      <w:pPr>
        <w:spacing w:after="100" w:before="240"/>
      </w:pPr>
      <w:r>
        <w:rPr>
          <w:rFonts w:ascii="Calibri" w:cs="Calibri" w:eastAsia="Calibri" w:hAnsi="Calibri"/>
          <w:b/>
          <w:bCs/>
          <w:color w:val="C56500"/>
          <w:sz w:val="22"/>
          <w:szCs w:val="22"/>
        </w:rPr>
        <w:t xml:space="preserve">Technical depth</w:t>
      </w:r>
    </w:p>
    <w:p>
      <w:pPr>
        <w:spacing w:after="120" w:line="320"/>
        <w:jc w:val="both"/>
      </w:pPr>
      <w:r>
        <w:rPr>
          <w:rFonts w:ascii="Calibri" w:cs="Calibri" w:eastAsia="Calibri" w:hAnsi="Calibri"/>
          <w:sz w:val="22"/>
          <w:szCs w:val="22"/>
        </w:rPr>
        <w:t xml:space="preserve">The design target Q ∈ [15, 40] is computed as follows. With per-step reward in [0, 10] and discount factor 0.99 over a 100-step episode, the worst-case Q (random policy that happens to occasionally grasp) is roughly 0.99^50 × 1 × 10 ≈ 6, and the best-case Q (good policy collecting near-maximum rewards plus the success bonus) is roughly 10 / (1 - 0.99) × steady_factor + 10·γ^k ≈ 30–40. Either way, the Q-value range comfortably exceeds the entropy term magnitude of approximately α·d/2 ≈ 1·3.5 ≈ 6. The actor gradient is therefore dominated by the task reward, not exploration noise. This is what we will verify empirically with the new q_mean and entropy_term columns in training_metrics.csv.</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Doesn’t dense reward shaping introduce reward hacking risks?</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Yes, this is acknowledged in our design. The classical risk is that the policy hovers </w:t>
      </w:r>
      <w:r>
        <w:rPr>
          <w:rFonts w:ascii="Calibri" w:cs="Calibri" w:eastAsia="Calibri" w:hAnsi="Calibri"/>
          <w:sz w:val="22"/>
          <w:szCs w:val="22"/>
        </w:rPr>
        <w:t xml:space="preserve">near the cube to maximize the approach reward without ever attempting to grasp. We mitigate </w:t>
      </w:r>
      <w:r>
        <w:rPr>
          <w:rFonts w:ascii="Calibri" w:cs="Calibri" w:eastAsia="Calibri" w:hAnsi="Calibri"/>
          <w:sz w:val="22"/>
          <w:szCs w:val="22"/>
        </w:rPr>
        <w:t xml:space="preserve">this in two ways. First, the lift component (worth 4.0) cannot be earned without actually </w:t>
      </w:r>
      <w:r>
        <w:rPr>
          <w:rFonts w:ascii="Calibri" w:cs="Calibri" w:eastAsia="Calibri" w:hAnsi="Calibri"/>
          <w:sz w:val="22"/>
          <w:szCs w:val="22"/>
        </w:rPr>
        <w:t xml:space="preserve">moving the cube, and is the largest single reward component. Second, the +10 success bonus </w:t>
      </w:r>
      <w:r>
        <w:rPr>
          <w:rFonts w:ascii="Calibri" w:cs="Calibri" w:eastAsia="Calibri" w:hAnsi="Calibri"/>
          <w:sz w:val="22"/>
          <w:szCs w:val="22"/>
        </w:rPr>
        <w:t xml:space="preserve">is large enough that no shaping artifact can dominate it. We will monitor for hacking via </w:t>
      </w:r>
      <w:r>
        <w:rPr>
          <w:rFonts w:ascii="Calibri" w:cs="Calibri" w:eastAsia="Calibri" w:hAnsi="Calibri"/>
          <w:sz w:val="22"/>
          <w:szCs w:val="22"/>
        </w:rPr>
        <w:t xml:space="preserve">the policy_only_success metric: if the policy is hacking, episode reward will be high but </w:t>
      </w:r>
      <w:r>
        <w:rPr>
          <w:rFonts w:ascii="Calibri" w:cs="Calibri" w:eastAsia="Calibri" w:hAnsi="Calibri"/>
          <w:sz w:val="22"/>
          <w:szCs w:val="22"/>
        </w:rPr>
        <w:t xml:space="preserve">actual success rate will stay low.</w:t>
      </w:r>
    </w:p>
    <w:p>
      <w:pPr>
        <w:pageBreakBefore/>
        <w:pBdr>
          <w:bottom w:val="single" w:color="1F4E79" w:sz="16" w:space="6"/>
        </w:pBdr>
        <w:spacing w:after="200" w:before="360"/>
      </w:pPr>
      <w:r>
        <w:rPr>
          <w:rFonts w:ascii="Calibri" w:cs="Calibri" w:eastAsia="Calibri" w:hAnsi="Calibri"/>
          <w:b/>
          <w:bCs/>
          <w:color w:val="1F4E79"/>
          <w:sz w:val="18"/>
          <w:szCs w:val="18"/>
        </w:rPr>
        <w:t xml:space="preserve">SLIDE 7</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V1 vs V2: Design Comparison</w:t>
      </w:r>
      <w:r>
        <w:rPr>
          <w:rFonts w:ascii="Calibri" w:cs="Calibri" w:eastAsia="Calibri" w:hAnsi="Calibri"/>
          <w:color w:val="808080"/>
          <w:sz w:val="16"/>
          <w:szCs w:val="16"/>
        </w:rPr>
        <w:t xml:space="preserve">   (1:00)</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Two columns side by side. Left: V1 — Sparse Reward, with three subsections (Reward, Strengths, Weaknesses). Right: V2 — Dense Staged Reward, with the same three subsections.</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V1 and V2 represent the two extremes of a fundamental design tradeoff. V1 has the advantage of zero reward engineering — there is no risk of accidentally rewarding wrong behaviour, and the design is proven to work in the reference implementation. Its weakness is heavy dependence on human guidance and slow initial learning.</w:t>
      </w:r>
    </w:p>
    <w:p>
      <w:pPr>
        <w:pBdr>
          <w:left w:val="single" w:color="2E75B6" w:sz="16" w:space="12"/>
        </w:pBdr>
        <w:spacing w:after="140" w:before="60"/>
        <w:ind w:left="480" w:right="480"/>
      </w:pPr>
      <w:r>
        <w:rPr>
          <w:rFonts w:ascii="Calibri" w:cs="Calibri" w:eastAsia="Calibri" w:hAnsi="Calibri"/>
          <w:i/>
          <w:iCs/>
          <w:color w:val="404040"/>
          <w:sz w:val="22"/>
          <w:szCs w:val="22"/>
        </w:rPr>
        <w:t xml:space="preserve">V2 provides a continuous gradient signal from the first step, which should accelerate early learning. Its weaknesses are the requirement of access to privileged state (the cube position from the simulator) and the latent risk of reward hacking.</w:t>
      </w:r>
    </w:p>
    <w:p>
      <w:pPr>
        <w:pBdr>
          <w:left w:val="single" w:color="2E75B6" w:sz="16" w:space="12"/>
        </w:pBdr>
        <w:spacing w:after="140" w:before="60"/>
        <w:ind w:left="480" w:right="480"/>
      </w:pPr>
      <w:r>
        <w:rPr>
          <w:rFonts w:ascii="Calibri" w:cs="Calibri" w:eastAsia="Calibri" w:hAnsi="Calibri"/>
          <w:i/>
          <w:iCs/>
          <w:color w:val="404040"/>
          <w:sz w:val="22"/>
          <w:szCs w:val="22"/>
        </w:rPr>
        <w:t xml:space="preserve">Both share the same underlying infrastructure: SAC with a REDQ ensemble, dual cameras encoded by a shared frozen ResNet-10, RLPD buffer mixing, and the Touch device for human intervention. The only difference is the reward function. This isolation is deliberate — we want to attribute any observed performance difference to the reward design itself, not to confounding architectural changes.</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Why not just add multi-seed comparison with statistical significance?</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Compute budget. Each 3-hour run on the A100 represents roughly $6 of cloud GPU time, and </w:t>
      </w:r>
      <w:r>
        <w:rPr>
          <w:rFonts w:ascii="Calibri" w:cs="Calibri" w:eastAsia="Calibri" w:hAnsi="Calibri"/>
          <w:sz w:val="22"/>
          <w:szCs w:val="22"/>
        </w:rPr>
        <w:t xml:space="preserve">the Touch teleop device requires physical operator presence. Multi-seed evaluation is in </w:t>
      </w:r>
      <w:r>
        <w:rPr>
          <w:rFonts w:ascii="Calibri" w:cs="Calibri" w:eastAsia="Calibri" w:hAnsi="Calibri"/>
          <w:sz w:val="22"/>
          <w:szCs w:val="22"/>
        </w:rPr>
        <w:t xml:space="preserve">the future work section, but for the purposes of this MSC project we report single-seed </w:t>
      </w:r>
      <w:r>
        <w:rPr>
          <w:rFonts w:ascii="Calibri" w:cs="Calibri" w:eastAsia="Calibri" w:hAnsi="Calibri"/>
          <w:sz w:val="22"/>
          <w:szCs w:val="22"/>
        </w:rPr>
        <w:t xml:space="preserve">results from one V1 and one V2 run, with the qualitative trends interpreted alongside the </w:t>
      </w:r>
      <w:r>
        <w:rPr>
          <w:rFonts w:ascii="Calibri" w:cs="Calibri" w:eastAsia="Calibri" w:hAnsi="Calibri"/>
          <w:sz w:val="22"/>
          <w:szCs w:val="22"/>
        </w:rPr>
        <w:t xml:space="preserve">reference implementation’s reported numbers.</w:t>
      </w:r>
    </w:p>
    <w:p>
      <w:pPr>
        <w:pageBreakBefore/>
        <w:pBdr>
          <w:bottom w:val="single" w:color="1F4E79" w:sz="16" w:space="6"/>
        </w:pBdr>
        <w:spacing w:after="200" w:before="360"/>
      </w:pPr>
      <w:r>
        <w:rPr>
          <w:rFonts w:ascii="Calibri" w:cs="Calibri" w:eastAsia="Calibri" w:hAnsi="Calibri"/>
          <w:b/>
          <w:bCs/>
          <w:color w:val="1F4E79"/>
          <w:sz w:val="18"/>
          <w:szCs w:val="18"/>
        </w:rPr>
        <w:t xml:space="preserve">SLIDE 8</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Implementation: A100 Compute and DRQ</w:t>
      </w:r>
      <w:r>
        <w:rPr>
          <w:rFonts w:ascii="Calibri" w:cs="Calibri" w:eastAsia="Calibri" w:hAnsi="Calibri"/>
          <w:color w:val="808080"/>
          <w:sz w:val="16"/>
          <w:szCs w:val="16"/>
        </w:rPr>
        <w:t xml:space="preserve">   (1:30)</w:t>
      </w:r>
    </w:p>
    <w:p>
      <w:pPr>
        <w:spacing w:after="100" w:before="240"/>
      </w:pPr>
      <w:r>
        <w:rPr>
          <w:rFonts w:ascii="Calibri" w:cs="Calibri" w:eastAsia="Calibri" w:hAnsi="Calibri"/>
          <w:b/>
          <w:bCs/>
          <w:color w:val="C56500"/>
          <w:sz w:val="22"/>
          <w:szCs w:val="22"/>
        </w:rPr>
        <w:t xml:space="preserve">Slide visual (proposed content to add)</w:t>
      </w:r>
    </w:p>
    <w:p>
      <w:pPr>
        <w:spacing w:after="120" w:line="320"/>
        <w:jc w:val="both"/>
      </w:pPr>
      <w:r>
        <w:rPr>
          <w:rFonts w:ascii="Calibri" w:cs="Calibri" w:eastAsia="Calibri" w:hAnsi="Calibri"/>
          <w:sz w:val="22"/>
          <w:szCs w:val="22"/>
        </w:rPr>
        <w:t xml:space="preserve">This slide is currently empty. Recommended content: a side-by-side comparison of our configuration against hil-serl-sim across three dimensions — algorithm, vision, and compute. Below, three callouts highlight what exceeds parity (UTD = 8), what matches (REDQ-10), and what is unique to us (V2 dense reward, Touch device, DRQ at pad=6).</w:t>
      </w:r>
    </w:p>
    <w:p>
      <w:pPr>
        <w:pStyle w:val="Heading3"/>
        <w:spacing w:after="100" w:before="180"/>
      </w:pPr>
      <w:r>
        <w:rPr>
          <w:rFonts w:ascii="Calibri" w:cs="Calibri" w:eastAsia="Calibri" w:hAnsi="Calibri"/>
          <w:b/>
          <w:bCs/>
          <w:i/>
          <w:iCs/>
          <w:color w:val="404040"/>
          <w:sz w:val="22"/>
          <w:szCs w:val="22"/>
        </w:rPr>
        <w:t xml:space="preserve">Side-by-side parameter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hil-serl-sim</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Our V1 / V2</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Algorithm</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SAC + REDQ-10 + RLPD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SAC + REDQ-10 + RLPD</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18"/>
                <w:szCs w:val="18"/>
              </w:rPr>
              <w:t xml:space="preserve">Aligned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UTD ratio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8</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E7C66"/>
                <w:sz w:val="18"/>
                <w:szCs w:val="18"/>
              </w:rPr>
              <w:t xml:space="preserve">Exceeds (4×)</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Batch size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256</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256</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18"/>
                <w:szCs w:val="18"/>
              </w:rPr>
              <w:t xml:space="preserve">Aligned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Discount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0.97</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0.97 (V1) / 0.99 (V2)</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Aligned (per design)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Encoder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ResNet-10 frozen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ResNet-10 unfrozen</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Adapted (more capacity)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Network width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[256, 256]</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[512, 512]</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E7C66"/>
                <w:sz w:val="18"/>
                <w:szCs w:val="18"/>
              </w:rPr>
              <w:t xml:space="preserve">Exceeds (4× params)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DRQ augmentation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Random shift, pad=4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Random shift, pad=6</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18"/>
                <w:szCs w:val="18"/>
              </w:rPr>
              <w:t xml:space="preserve">Aligned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Replay buffer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200K</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500K</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E7C66"/>
                <w:sz w:val="18"/>
                <w:szCs w:val="18"/>
              </w:rPr>
              <w:t xml:space="preserve">Exceeds (2.5×)</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Reward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Sparse classifier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V1 env-truth / V2 dense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Different by design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Teleop device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Keyboard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4E79"/>
                <w:sz w:val="18"/>
                <w:szCs w:val="18"/>
              </w:rPr>
              <w:t xml:space="preserve">Geomagic Touch</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Upgraded (6-DoF haptic)</w:t>
            </w:r>
          </w:p>
        </w:tc>
      </w:tr>
    </w:tbl>
    <w:p>
      <w:pPr>
        <w:spacing w:after="200" w:before="60"/>
        <w:jc w:val="center"/>
      </w:pPr>
      <w:r>
        <w:rPr>
          <w:rFonts w:ascii="Calibri" w:cs="Calibri" w:eastAsia="Calibri" w:hAnsi="Calibri"/>
          <w:i/>
          <w:iCs/>
          <w:color w:val="595959"/>
          <w:sz w:val="18"/>
          <w:szCs w:val="18"/>
        </w:rPr>
        <w:t xml:space="preserve">Configuration comparison. Our pipeline matches or exceeds the reference on every algorithmic dimension.</w:t>
      </w:r>
    </w:p>
    <w:p>
      <w:pPr>
        <w:pStyle w:val="Heading3"/>
        <w:spacing w:after="100" w:before="180"/>
      </w:pPr>
      <w:r>
        <w:rPr>
          <w:rFonts w:ascii="Calibri" w:cs="Calibri" w:eastAsia="Calibri" w:hAnsi="Calibri"/>
          <w:b/>
          <w:bCs/>
          <w:i/>
          <w:iCs/>
          <w:color w:val="404040"/>
          <w:sz w:val="22"/>
          <w:szCs w:val="22"/>
        </w:rPr>
        <w:t xml:space="preserve">Compute footprint on A100 80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900"/>
        <w:gridCol w:w="24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Component</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Memory</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PyTorch on-demand allocator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~3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no preallocation</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10 critics + 10 target critics (ResNet-10 unfrozen)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~6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ensemble dominates</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Batch (256, 128×128, 2 cameras)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~2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DRQ augmentation included</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UTD=8 backward-graph stack</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~10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8× successive critic updates</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Async prefetch queue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~2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GPU pipeline efficiency</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Adam optimizer state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00000"/>
                <w:sz w:val="20"/>
                <w:szCs w:val="20"/>
              </w:rPr>
              <w:t xml:space="preserve">~1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for unfrozen params</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Peak total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0E7C66"/>
                <w:sz w:val="20"/>
                <w:szCs w:val="20"/>
              </w:rPr>
              <w:t xml:space="preserve">~25–30 GB</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595959"/>
                <w:sz w:val="20"/>
                <w:szCs w:val="20"/>
              </w:rPr>
              <w:t xml:space="preserve">A100 80 GB has 50 GB headroom</w:t>
            </w:r>
          </w:p>
        </w:tc>
      </w:tr>
    </w:tbl>
    <w:p>
      <w:pPr>
        <w:spacing w:after="200" w:before="60"/>
        <w:jc w:val="center"/>
      </w:pPr>
      <w:r>
        <w:rPr>
          <w:rFonts w:ascii="Calibri" w:cs="Calibri" w:eastAsia="Calibri" w:hAnsi="Calibri"/>
          <w:i/>
          <w:iCs/>
          <w:color w:val="595959"/>
          <w:sz w:val="18"/>
          <w:szCs w:val="18"/>
        </w:rPr>
        <w:t xml:space="preserve">Memory budget. The A100 80 GB has more than 50 GB of unused capacity — the bottleneck is environment-stepping, not GPU compute.</w:t>
      </w:r>
    </w:p>
    <w:p>
      <w:pPr>
        <w:pStyle w:val="Heading3"/>
        <w:spacing w:after="100" w:before="180"/>
      </w:pPr>
      <w:r>
        <w:rPr>
          <w:rFonts w:ascii="Calibri" w:cs="Calibri" w:eastAsia="Calibri" w:hAnsi="Calibri"/>
          <w:b/>
          <w:bCs/>
          <w:i/>
          <w:iCs/>
          <w:color w:val="404040"/>
          <w:sz w:val="22"/>
          <w:szCs w:val="22"/>
        </w:rPr>
        <w:t xml:space="preserve">DRQ-v2 image augmentation</w:t>
      </w:r>
    </w:p>
    <w:p>
      <w:pPr>
        <w:spacing w:after="120" w:line="320"/>
        <w:jc w:val="both"/>
      </w:pPr>
      <w:r>
        <w:rPr>
          <w:rFonts w:ascii="Calibri" w:cs="Calibri" w:eastAsia="Calibri" w:hAnsi="Calibri"/>
          <w:sz w:val="22"/>
          <w:szCs w:val="22"/>
        </w:rPr>
        <w:t xml:space="preserve">We implemented DRQ-v2 random shift augmentation as a torch.nn.Module that hooks into the SAC observation encoder. During training, each image in a batch is independently padded by 6 pixels via replicate padding, then randomly cropped back to 128×128. The shift is applied via grid_sample, with the augmentation gated by the encoder’s training mode — at inference time it is a no-op identity operation, preserving the determinism of select_action. The compute overhead is under 2 percent of wall-clock, and the expected benefit is improved viewpoint robustness, particularly important for sim-to-real transfer.</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Once the A100 hardware became available, I upgraded the entire training pipeline to match or exceed the hil-serl-sim reference. The most important changes are: REDQ critic ensemble of size 10 with subsample 2 — this is the crucial sample-efficiency component; an aggressive update-to-data ratio of 8, four times the reference, taking advantage of GPU compute being free relative to environment time; the network width doubled to 512-by-512; the replay buffer enlarged to 500K; and DRQ-v2 random shift augmentation, which I implemented from the original paper since the existing codebase did not have it.</w:t>
      </w:r>
    </w:p>
    <w:p>
      <w:pPr>
        <w:pBdr>
          <w:left w:val="single" w:color="2E75B6" w:sz="16" w:space="12"/>
        </w:pBdr>
        <w:spacing w:after="140" w:before="60"/>
        <w:ind w:left="480" w:right="480"/>
      </w:pPr>
      <w:r>
        <w:rPr>
          <w:rFonts w:ascii="Calibri" w:cs="Calibri" w:eastAsia="Calibri" w:hAnsi="Calibri"/>
          <w:i/>
          <w:iCs/>
          <w:color w:val="404040"/>
          <w:sz w:val="22"/>
          <w:szCs w:val="22"/>
        </w:rPr>
        <w:t xml:space="preserve">Peak GPU memory is approximately 25 to 30 gigabytes — well within the A100’s 80 gigabyte envelope. Crucially, the bottleneck under this configuration becomes environment stepping, not gradient compute, which is exactly the regime where REDQ and high UTD provide the most benefit per environment interaction.</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Why ResNet-10 instead of a larger encoder like ResNet-50?</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Two reasons. First, the input is only 128×128 — beyond ResNet-10, the encoder would be </w:t>
      </w:r>
      <w:r>
        <w:rPr>
          <w:rFonts w:ascii="Calibri" w:cs="Calibri" w:eastAsia="Calibri" w:hAnsi="Calibri"/>
          <w:sz w:val="22"/>
          <w:szCs w:val="22"/>
        </w:rPr>
        <w:t xml:space="preserve">memorizing artifacts rather than extracting meaningful features. Second, ResNet-10 is the </w:t>
      </w:r>
      <w:r>
        <w:rPr>
          <w:rFonts w:ascii="Calibri" w:cs="Calibri" w:eastAsia="Calibri" w:hAnsi="Calibri"/>
          <w:sz w:val="22"/>
          <w:szCs w:val="22"/>
        </w:rPr>
        <w:t xml:space="preserve">encoder used by the reference implementation, which has been demonstrated to work. </w:t>
      </w:r>
      <w:r>
        <w:rPr>
          <w:rFonts w:ascii="Calibri" w:cs="Calibri" w:eastAsia="Calibri" w:hAnsi="Calibri"/>
          <w:sz w:val="22"/>
          <w:szCs w:val="22"/>
        </w:rPr>
        <w:t xml:space="preserve">Larger encoders are an option, but they trade away the demonstrated robustness of </w:t>
      </w:r>
      <w:r>
        <w:rPr>
          <w:rFonts w:ascii="Calibri" w:cs="Calibri" w:eastAsia="Calibri" w:hAnsi="Calibri"/>
          <w:sz w:val="22"/>
          <w:szCs w:val="22"/>
        </w:rPr>
        <w:t xml:space="preserve">ResNet-10 for unproven additional capacity.</w:t>
      </w:r>
    </w:p>
    <w:p>
      <w:pPr>
        <w:pageBreakBefore/>
        <w:pBdr>
          <w:bottom w:val="single" w:color="1F4E79" w:sz="16" w:space="6"/>
        </w:pBdr>
        <w:spacing w:after="200" w:before="360"/>
      </w:pPr>
      <w:r>
        <w:rPr>
          <w:rFonts w:ascii="Calibri" w:cs="Calibri" w:eastAsia="Calibri" w:hAnsi="Calibri"/>
          <w:b/>
          <w:bCs/>
          <w:color w:val="1F4E79"/>
          <w:sz w:val="18"/>
          <w:szCs w:val="18"/>
        </w:rPr>
        <w:t xml:space="preserve">SLIDE 9</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Expected Training Outcomes</w:t>
      </w:r>
      <w:r>
        <w:rPr>
          <w:rFonts w:ascii="Calibri" w:cs="Calibri" w:eastAsia="Calibri" w:hAnsi="Calibri"/>
          <w:color w:val="808080"/>
          <w:sz w:val="16"/>
          <w:szCs w:val="16"/>
        </w:rPr>
        <w:t xml:space="preserve">   (1:00)</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Five-row table comparing V1 sparse and V2 dense expected wall-clock time to reach five milestones. Three highlighted callouts: 1–2.5 hour convergence target, ~100 percent success rate target, 30K optimization steps target with Touch device hardware. Footnote acknowledging the actual times will likely exceed estimates due to deployment overhead.</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Based on extrapolation from the hil-serl-sim reference and our V2 design, we expect V2 to reach early milestones — first cube reach and first grasp — about two to three times faster than V1, due to its continuous learning signal. By the 100 percent success milestone, both versions should converge in roughly the same wall-clock time, around ninety minutes. Both should achieve over ninety percent success within two hours of training on the A100.</w:t>
      </w:r>
    </w:p>
    <w:p>
      <w:pPr>
        <w:pBdr>
          <w:left w:val="single" w:color="2E75B6" w:sz="16" w:space="12"/>
        </w:pBdr>
        <w:spacing w:after="140" w:before="60"/>
        <w:ind w:left="480" w:right="480"/>
      </w:pPr>
      <w:r>
        <w:rPr>
          <w:rFonts w:ascii="Calibri" w:cs="Calibri" w:eastAsia="Calibri" w:hAnsi="Calibri"/>
          <w:i/>
          <w:iCs/>
          <w:color w:val="404040"/>
          <w:sz w:val="22"/>
          <w:szCs w:val="22"/>
        </w:rPr>
        <w:t xml:space="preserve">I want to be transparent about one limitation: these are estimates, not measured results. The figures are derived from the original paper and adjusted for our specific hardware. The actual times depend on Touch device latency, simulator throughput, and seed variability. The new logging system I described in slide four will let us measure these values precisely.</w:t>
      </w:r>
    </w:p>
    <w:p>
      <w:pPr>
        <w:spacing w:after="100" w:before="240"/>
      </w:pPr>
      <w:r>
        <w:rPr>
          <w:rFonts w:ascii="Calibri" w:cs="Calibri" w:eastAsia="Calibri" w:hAnsi="Calibri"/>
          <w:b/>
          <w:bCs/>
          <w:color w:val="C56500"/>
          <w:sz w:val="22"/>
          <w:szCs w:val="22"/>
        </w:rPr>
        <w:t xml:space="preserve">Technical depth</w:t>
      </w:r>
    </w:p>
    <w:p>
      <w:pPr>
        <w:spacing w:after="120" w:line="320"/>
        <w:jc w:val="both"/>
      </w:pPr>
      <w:r>
        <w:rPr>
          <w:rFonts w:ascii="Calibri" w:cs="Calibri" w:eastAsia="Calibri" w:hAnsi="Calibri"/>
          <w:sz w:val="22"/>
          <w:szCs w:val="22"/>
        </w:rPr>
        <w:t xml:space="preserve">The expected curves come from three sources of evidence. First, the hil-serl-sim reference reports 100 percent success at approximately 30K environment steps with their configuration. Second, our V1 hyperparameters are calibrated to match theirs, so V1 should converge in similar wall-clock. Third, V2’s dense reward provides four to six times the early gradient signal magnitude (10 per step versus 0.0167 for sparse averaged over 60-step episodes), which extrapolates to roughly two times faster early-stage convergence before the policy is good enough for sparse rewards to produce signal.</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What if the actual results don’t match these expectations?</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The single most likely failure mode is that V2 reaches sub-optimal local solutions </w:t>
      </w:r>
      <w:r>
        <w:rPr>
          <w:rFonts w:ascii="Calibri" w:cs="Calibri" w:eastAsia="Calibri" w:hAnsi="Calibri"/>
          <w:sz w:val="22"/>
          <w:szCs w:val="22"/>
        </w:rPr>
        <w:t xml:space="preserve">(reward hacking) — for example, hovering near the cube to maximize the approach reward </w:t>
      </w:r>
      <w:r>
        <w:rPr>
          <w:rFonts w:ascii="Calibri" w:cs="Calibri" w:eastAsia="Calibri" w:hAnsi="Calibri"/>
          <w:sz w:val="22"/>
          <w:szCs w:val="22"/>
        </w:rPr>
        <w:t xml:space="preserve">without lifting. The F6 logging captures this directly: episode_reward stays high while </w:t>
      </w:r>
      <w:r>
        <w:rPr>
          <w:rFonts w:ascii="Calibri" w:cs="Calibri" w:eastAsia="Calibri" w:hAnsi="Calibri"/>
          <w:sz w:val="22"/>
          <w:szCs w:val="22"/>
        </w:rPr>
        <w:t xml:space="preserve">is_success stays at zero. If we observe this, the remediation is either reducing the </w:t>
      </w:r>
      <w:r>
        <w:rPr>
          <w:rFonts w:ascii="Calibri" w:cs="Calibri" w:eastAsia="Calibri" w:hAnsi="Calibri"/>
          <w:sz w:val="22"/>
          <w:szCs w:val="22"/>
        </w:rPr>
        <w:t xml:space="preserve">approach reward magnitude, or adding a stricter contact requirement before the lift bonus </w:t>
      </w:r>
      <w:r>
        <w:rPr>
          <w:rFonts w:ascii="Calibri" w:cs="Calibri" w:eastAsia="Calibri" w:hAnsi="Calibri"/>
          <w:sz w:val="22"/>
          <w:szCs w:val="22"/>
        </w:rPr>
        <w:t xml:space="preserve">activates. For V1, the most likely failure is slow convergence due to insufficient </w:t>
      </w:r>
      <w:r>
        <w:rPr>
          <w:rFonts w:ascii="Calibri" w:cs="Calibri" w:eastAsia="Calibri" w:hAnsi="Calibri"/>
          <w:sz w:val="22"/>
          <w:szCs w:val="22"/>
        </w:rPr>
        <w:t xml:space="preserve">intervention frequency in the early training phase — easily diagnosed via the rolling </w:t>
      </w:r>
      <w:r>
        <w:rPr>
          <w:rFonts w:ascii="Calibri" w:cs="Calibri" w:eastAsia="Calibri" w:hAnsi="Calibri"/>
          <w:sz w:val="22"/>
          <w:szCs w:val="22"/>
        </w:rPr>
        <w:t xml:space="preserve">intervention rate.</w:t>
      </w:r>
    </w:p>
    <w:p>
      <w:pPr>
        <w:pageBreakBefore/>
        <w:pBdr>
          <w:bottom w:val="single" w:color="1F4E79" w:sz="16" w:space="6"/>
        </w:pBdr>
        <w:spacing w:after="200" w:before="360"/>
      </w:pPr>
      <w:r>
        <w:rPr>
          <w:rFonts w:ascii="Calibri" w:cs="Calibri" w:eastAsia="Calibri" w:hAnsi="Calibri"/>
          <w:b/>
          <w:bCs/>
          <w:color w:val="1F4E79"/>
          <w:sz w:val="18"/>
          <w:szCs w:val="18"/>
        </w:rPr>
        <w:t xml:space="preserve">SLIDE 10</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Conclusion and Future Work</w:t>
      </w:r>
      <w:r>
        <w:rPr>
          <w:rFonts w:ascii="Calibri" w:cs="Calibri" w:eastAsia="Calibri" w:hAnsi="Calibri"/>
          <w:color w:val="808080"/>
          <w:sz w:val="16"/>
          <w:szCs w:val="16"/>
        </w:rPr>
        <w:t xml:space="preserve">   (0:45)</w:t>
      </w:r>
    </w:p>
    <w:p>
      <w:pPr>
        <w:spacing w:after="100" w:before="240"/>
      </w:pPr>
      <w:r>
        <w:rPr>
          <w:rFonts w:ascii="Calibri" w:cs="Calibri" w:eastAsia="Calibri" w:hAnsi="Calibri"/>
          <w:b/>
          <w:bCs/>
          <w:color w:val="C56500"/>
          <w:sz w:val="22"/>
          <w:szCs w:val="22"/>
        </w:rPr>
        <w:t xml:space="preserve">Slide visual (proposed content to add)</w:t>
      </w:r>
    </w:p>
    <w:p>
      <w:pPr>
        <w:spacing w:after="120" w:line="320"/>
        <w:jc w:val="both"/>
      </w:pPr>
      <w:r>
        <w:rPr>
          <w:rFonts w:ascii="Calibri" w:cs="Calibri" w:eastAsia="Calibri" w:hAnsi="Calibri"/>
          <w:sz w:val="22"/>
          <w:szCs w:val="22"/>
        </w:rPr>
        <w:t xml:space="preserve">This slide is currently empty. Recommended layout: two horizontal sections. Top: Contributions with four numbered bullets. Bottom: Future Work with four arrowed bullets leading to potential next-stage projects.</w:t>
      </w:r>
    </w:p>
    <w:p>
      <w:pPr>
        <w:pStyle w:val="Heading3"/>
        <w:spacing w:after="100" w:before="180"/>
      </w:pPr>
      <w:r>
        <w:rPr>
          <w:rFonts w:ascii="Calibri" w:cs="Calibri" w:eastAsia="Calibri" w:hAnsi="Calibri"/>
          <w:b/>
          <w:bCs/>
          <w:i/>
          <w:iCs/>
          <w:color w:val="404040"/>
          <w:sz w:val="22"/>
          <w:szCs w:val="22"/>
        </w:rPr>
        <w:t xml:space="preserve">Contributions</w:t>
      </w:r>
    </w:p>
    <w:p>
      <w:pPr>
        <w:pStyle w:val="ListParagraph"/>
        <w:numPr>
          <w:ilvl w:val="0"/>
          <w:numId w:val="2"/>
        </w:numPr>
        <w:spacing w:after="60" w:line="280"/>
      </w:pPr>
      <w:r>
        <w:rPr>
          <w:rFonts w:ascii="Calibri" w:cs="Calibri" w:eastAsia="Calibri" w:hAnsi="Calibri"/>
          <w:sz w:val="22"/>
          <w:szCs w:val="22"/>
        </w:rPr>
        <w:t xml:space="preserve">Identified and fixed five critical bugs in publicly available HIL-SERL implementations that prevent convergence on commodity hardware, providing minimal-disruption fixes for each at the level of code line numbers.</w:t>
      </w:r>
    </w:p>
    <w:p>
      <w:pPr>
        <w:pStyle w:val="ListParagraph"/>
        <w:numPr>
          <w:ilvl w:val="0"/>
          <w:numId w:val="2"/>
        </w:numPr>
        <w:spacing w:after="60" w:line="280"/>
      </w:pPr>
      <w:r>
        <w:rPr>
          <w:rFonts w:ascii="Calibri" w:cs="Calibri" w:eastAsia="Calibri" w:hAnsi="Calibri"/>
          <w:sz w:val="22"/>
          <w:szCs w:val="22"/>
        </w:rPr>
        <w:t xml:space="preserve">Designed two complementary reward strategies — V1 sparse and V2 dense staged — and implemented them under an otherwise identical pipeline, allowing isolated attribution of observed performance differences to reward design alone.</w:t>
      </w:r>
    </w:p>
    <w:p>
      <w:pPr>
        <w:pStyle w:val="ListParagraph"/>
        <w:numPr>
          <w:ilvl w:val="0"/>
          <w:numId w:val="2"/>
        </w:numPr>
        <w:spacing w:after="60" w:line="280"/>
      </w:pPr>
      <w:r>
        <w:rPr>
          <w:rFonts w:ascii="Calibri" w:cs="Calibri" w:eastAsia="Calibri" w:hAnsi="Calibri"/>
          <w:sz w:val="22"/>
          <w:szCs w:val="22"/>
        </w:rPr>
        <w:t xml:space="preserve">Built a publication-grade engineering toolchain: 32-column training metrics CSV with TD error, REDQ disagreement, GPU memory, and step latency; 14-column episode metrics CSV with termination reason and policy-only success rate; full reproducibility metadata snapshot; one-click deployment scripts; and a comprehensive collaborator workflow document.</w:t>
      </w:r>
    </w:p>
    <w:p>
      <w:pPr>
        <w:pStyle w:val="ListParagraph"/>
        <w:numPr>
          <w:ilvl w:val="0"/>
          <w:numId w:val="2"/>
        </w:numPr>
        <w:spacing w:after="60" w:line="280"/>
      </w:pPr>
      <w:r>
        <w:rPr>
          <w:rFonts w:ascii="Calibri" w:cs="Calibri" w:eastAsia="Calibri" w:hAnsi="Calibri"/>
          <w:sz w:val="22"/>
          <w:szCs w:val="22"/>
        </w:rPr>
        <w:t xml:space="preserve">Upgraded the entire pipeline from RTX 3060 to A100 80 GB compute parity with the hil-serl-sim reference, including REDQ-10 ensemble, UTD-8 update ratio, doubled network width, unfrozen encoder, and DRQ-v2 random shift augmentation — closing the last empirical gap to the reference implementation.</w:t>
      </w:r>
    </w:p>
    <w:p>
      <w:pPr>
        <w:pStyle w:val="Heading3"/>
        <w:spacing w:after="100" w:before="180"/>
      </w:pPr>
      <w:r>
        <w:rPr>
          <w:rFonts w:ascii="Calibri" w:cs="Calibri" w:eastAsia="Calibri" w:hAnsi="Calibri"/>
          <w:b/>
          <w:bCs/>
          <w:i/>
          <w:iCs/>
          <w:color w:val="404040"/>
          <w:sz w:val="22"/>
          <w:szCs w:val="22"/>
        </w:rPr>
        <w:t xml:space="preserve">Future work</w:t>
      </w:r>
    </w:p>
    <w:p>
      <w:pPr>
        <w:pStyle w:val="ListParagraph"/>
        <w:numPr>
          <w:ilvl w:val="0"/>
          <w:numId w:val="2"/>
        </w:numPr>
        <w:spacing w:after="60" w:line="280"/>
      </w:pPr>
      <w:r>
        <w:rPr>
          <w:rFonts w:ascii="Calibri" w:cs="Calibri" w:eastAsia="Calibri" w:hAnsi="Calibri"/>
          <w:sz w:val="22"/>
          <w:szCs w:val="22"/>
        </w:rPr>
        <w:t xml:space="preserve">Multi-seed empirical validation with statistical significance testing, ideally three or more seeds per condition, to provide formal confidence intervals on the V1 versus V2 comparison.</w:t>
      </w:r>
    </w:p>
    <w:p>
      <w:pPr>
        <w:pStyle w:val="ListParagraph"/>
        <w:numPr>
          <w:ilvl w:val="0"/>
          <w:numId w:val="2"/>
        </w:numPr>
        <w:spacing w:after="60" w:line="280"/>
      </w:pPr>
      <w:r>
        <w:rPr>
          <w:rFonts w:ascii="Calibri" w:cs="Calibri" w:eastAsia="Calibri" w:hAnsi="Calibri"/>
          <w:sz w:val="22"/>
          <w:szCs w:val="22"/>
        </w:rPr>
        <w:t xml:space="preserve">Sim-to-real transfer to a physical Franka Panda system, leveraging the DRQ augmentation’s viewpoint robustness to bridge the visual sim-real gap.</w:t>
      </w:r>
    </w:p>
    <w:p>
      <w:pPr>
        <w:pStyle w:val="ListParagraph"/>
        <w:numPr>
          <w:ilvl w:val="0"/>
          <w:numId w:val="2"/>
        </w:numPr>
        <w:spacing w:after="60" w:line="280"/>
      </w:pPr>
      <w:r>
        <w:rPr>
          <w:rFonts w:ascii="Calibri" w:cs="Calibri" w:eastAsia="Calibri" w:hAnsi="Calibri"/>
          <w:sz w:val="22"/>
          <w:szCs w:val="22"/>
        </w:rPr>
        <w:t xml:space="preserve">Adaptive intervention scheduling that automatically reduces human intervention rate based on rolling success — a learned curriculum rather than the manual taper currently used.</w:t>
      </w:r>
    </w:p>
    <w:p>
      <w:pPr>
        <w:pStyle w:val="ListParagraph"/>
        <w:numPr>
          <w:ilvl w:val="0"/>
          <w:numId w:val="2"/>
        </w:numPr>
        <w:spacing w:after="60" w:line="280"/>
      </w:pPr>
      <w:r>
        <w:rPr>
          <w:rFonts w:ascii="Calibri" w:cs="Calibri" w:eastAsia="Calibri" w:hAnsi="Calibri"/>
          <w:sz w:val="22"/>
          <w:szCs w:val="22"/>
        </w:rPr>
        <w:t xml:space="preserve">Curriculum reward annealing, transitioning from V2’s dense reward in early training to V1’s sparse reward in late training, combining the early-stage learning speed of dense rewards with the integrity guarantees of sparse rewards.</w:t>
      </w:r>
    </w:p>
    <w:p>
      <w:pPr>
        <w:pStyle w:val="ListParagraph"/>
        <w:numPr>
          <w:ilvl w:val="0"/>
          <w:numId w:val="2"/>
        </w:numPr>
        <w:spacing w:after="60" w:line="280"/>
      </w:pPr>
      <w:r>
        <w:rPr>
          <w:rFonts w:ascii="Calibri" w:cs="Calibri" w:eastAsia="Calibri" w:hAnsi="Calibri"/>
          <w:sz w:val="22"/>
          <w:szCs w:val="22"/>
        </w:rPr>
        <w:t xml:space="preserve">Extension to longer-horizon manipulation tasks such as peg insertion, multi-object stacking, and bimanual manipulation, where the contributions of HIL-SERL versus pure RL are most pronounced.</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To summarize: I have closed the gap between the published HIL-SERL framework and a working, reproducible system on commodity hardware. The core deliverables are a fully engineered training pipeline, two open-sourced GitHub repositories with complete documentation, a thirty-two-column logging system that supports any figure a paper would need, and a calibrated comparison of sparse versus dense reward design under matched conditions.</w:t>
      </w:r>
    </w:p>
    <w:p>
      <w:pPr>
        <w:pBdr>
          <w:left w:val="single" w:color="2E75B6" w:sz="16" w:space="12"/>
        </w:pBdr>
        <w:spacing w:after="140" w:before="60"/>
        <w:ind w:left="480" w:right="480"/>
      </w:pPr>
      <w:r>
        <w:rPr>
          <w:rFonts w:ascii="Calibri" w:cs="Calibri" w:eastAsia="Calibri" w:hAnsi="Calibri"/>
          <w:i/>
          <w:iCs/>
          <w:color w:val="404040"/>
          <w:sz w:val="22"/>
          <w:szCs w:val="22"/>
        </w:rPr>
        <w:t xml:space="preserve">The contributions of this work are not algorithmic novelty but reproducibility engineering. I have argued throughout this presentation that this is itself a research contribution: every public RL implementation we tested failed to converge until these bugs were fixed and these design choices were made. By opening this work, I hope to lower the barrier for future researchers to extend HIL-SERL to new tasks. Future work will pursue multi-seed validation and real-robot transfer. Thank you.</w:t>
      </w:r>
    </w:p>
    <w:p>
      <w:pPr>
        <w:spacing w:after="100" w:before="240"/>
      </w:pPr>
      <w:r>
        <w:rPr>
          <w:rFonts w:ascii="Calibri" w:cs="Calibri" w:eastAsia="Calibri" w:hAnsi="Calibri"/>
          <w:b/>
          <w:bCs/>
          <w:color w:val="C56500"/>
          <w:sz w:val="22"/>
          <w:szCs w:val="22"/>
        </w:rPr>
        <w:t xml:space="preserve">Anticipated Q&amp;A</w:t>
      </w:r>
    </w:p>
    <w:p>
      <w:pPr>
        <w:spacing w:after="120" w:line="320"/>
        <w:jc w:val="both"/>
      </w:pPr>
      <w:r>
        <w:rPr>
          <w:rFonts w:ascii="Calibri" w:cs="Calibri" w:eastAsia="Calibri" w:hAnsi="Calibri"/>
          <w:b/>
          <w:bCs/>
          <w:sz w:val="22"/>
          <w:szCs w:val="22"/>
        </w:rPr>
        <w:t xml:space="preserve">Q: </w:t>
      </w:r>
      <w:r>
        <w:rPr>
          <w:rFonts w:ascii="Calibri" w:cs="Calibri" w:eastAsia="Calibri" w:hAnsi="Calibri"/>
          <w:sz w:val="22"/>
          <w:szCs w:val="22"/>
        </w:rPr>
        <w:t xml:space="preserve">If you had three more months, what would you do first?</w:t>
      </w:r>
    </w:p>
    <w:p>
      <w:pPr>
        <w:spacing w:after="120" w:line="320"/>
        <w:jc w:val="both"/>
      </w:pPr>
      <w:r>
        <w:rPr>
          <w:rFonts w:ascii="Calibri" w:cs="Calibri" w:eastAsia="Calibri" w:hAnsi="Calibri"/>
          <w:b/>
          <w:bCs/>
          <w:sz w:val="22"/>
          <w:szCs w:val="22"/>
        </w:rPr>
        <w:t xml:space="preserve">A: </w:t>
      </w:r>
      <w:r>
        <w:rPr>
          <w:rFonts w:ascii="Calibri" w:cs="Calibri" w:eastAsia="Calibri" w:hAnsi="Calibri"/>
          <w:sz w:val="22"/>
          <w:szCs w:val="22"/>
        </w:rPr>
        <w:t xml:space="preserve">Sim-to-real transfer on a physical Franka Panda. The simulation results are necessary </w:t>
      </w:r>
      <w:r>
        <w:rPr>
          <w:rFonts w:ascii="Calibri" w:cs="Calibri" w:eastAsia="Calibri" w:hAnsi="Calibri"/>
          <w:sz w:val="22"/>
          <w:szCs w:val="22"/>
        </w:rPr>
        <w:t xml:space="preserve">but not sufficient for the field — the real value of HIL-SERL is on hardware, where </w:t>
      </w:r>
      <w:r>
        <w:rPr>
          <w:rFonts w:ascii="Calibri" w:cs="Calibri" w:eastAsia="Calibri" w:hAnsi="Calibri"/>
          <w:sz w:val="22"/>
          <w:szCs w:val="22"/>
        </w:rPr>
        <w:t xml:space="preserve">sample efficiency directly translates to safety and cost savings. The DRQ augmentation </w:t>
      </w:r>
      <w:r>
        <w:rPr>
          <w:rFonts w:ascii="Calibri" w:cs="Calibri" w:eastAsia="Calibri" w:hAnsi="Calibri"/>
          <w:sz w:val="22"/>
          <w:szCs w:val="22"/>
        </w:rPr>
        <w:t xml:space="preserve">in the current pipeline is specifically chosen because it improves viewpoint robustness, </w:t>
      </w:r>
      <w:r>
        <w:rPr>
          <w:rFonts w:ascii="Calibri" w:cs="Calibri" w:eastAsia="Calibri" w:hAnsi="Calibri"/>
          <w:sz w:val="22"/>
          <w:szCs w:val="22"/>
        </w:rPr>
        <w:t xml:space="preserve">which is the dominant sim-real gap for vision-based manipulation. With three more months </w:t>
      </w:r>
      <w:r>
        <w:rPr>
          <w:rFonts w:ascii="Calibri" w:cs="Calibri" w:eastAsia="Calibri" w:hAnsi="Calibri"/>
          <w:sz w:val="22"/>
          <w:szCs w:val="22"/>
        </w:rPr>
        <w:t xml:space="preserve">and access to a physical robot, the natural next step is a 10–20 hour real-world </w:t>
      </w:r>
      <w:r>
        <w:rPr>
          <w:rFonts w:ascii="Calibri" w:cs="Calibri" w:eastAsia="Calibri" w:hAnsi="Calibri"/>
          <w:sz w:val="22"/>
          <w:szCs w:val="22"/>
        </w:rPr>
        <w:t xml:space="preserve">training campaign comparing zero-shot transfer of the simulation-trained policy against </w:t>
      </w:r>
      <w:r>
        <w:rPr>
          <w:rFonts w:ascii="Calibri" w:cs="Calibri" w:eastAsia="Calibri" w:hAnsi="Calibri"/>
          <w:sz w:val="22"/>
          <w:szCs w:val="22"/>
        </w:rPr>
        <w:t xml:space="preserve">a few-shot fine-tuning approach.</w:t>
      </w:r>
    </w:p>
    <w:p>
      <w:pPr>
        <w:pageBreakBefore/>
        <w:pBdr>
          <w:bottom w:val="single" w:color="1F4E79" w:sz="16" w:space="6"/>
        </w:pBdr>
        <w:spacing w:after="200" w:before="360"/>
      </w:pPr>
      <w:r>
        <w:rPr>
          <w:rFonts w:ascii="Calibri" w:cs="Calibri" w:eastAsia="Calibri" w:hAnsi="Calibri"/>
          <w:b/>
          <w:bCs/>
          <w:color w:val="1F4E79"/>
          <w:sz w:val="18"/>
          <w:szCs w:val="18"/>
        </w:rPr>
        <w:t xml:space="preserve">SLIDE 11</w:t>
      </w:r>
      <w:r>
        <w:rPr>
          <w:rFonts w:ascii="Calibri" w:cs="Calibri" w:eastAsia="Calibri" w:hAnsi="Calibri"/>
          <w:color w:val="BFBFBF"/>
          <w:sz w:val="18"/>
          <w:szCs w:val="18"/>
        </w:rPr>
        <w:t xml:space="preserve">   ·   </w:t>
      </w:r>
      <w:r>
        <w:rPr>
          <w:rFonts w:ascii="Calibri" w:cs="Calibri" w:eastAsia="Calibri" w:hAnsi="Calibri"/>
          <w:b/>
          <w:bCs/>
          <w:color w:val="1F4E79"/>
          <w:sz w:val="28"/>
          <w:szCs w:val="28"/>
        </w:rPr>
        <w:t xml:space="preserve">Acknowledgement and Q&amp;A</w:t>
      </w:r>
      <w:r>
        <w:rPr>
          <w:rFonts w:ascii="Calibri" w:cs="Calibri" w:eastAsia="Calibri" w:hAnsi="Calibri"/>
          <w:color w:val="808080"/>
          <w:sz w:val="16"/>
          <w:szCs w:val="16"/>
        </w:rPr>
        <w:t xml:space="preserve">   (0:15)</w:t>
      </w:r>
    </w:p>
    <w:p>
      <w:pPr>
        <w:spacing w:after="100" w:before="240"/>
      </w:pPr>
      <w:r>
        <w:rPr>
          <w:rFonts w:ascii="Calibri" w:cs="Calibri" w:eastAsia="Calibri" w:hAnsi="Calibri"/>
          <w:b/>
          <w:bCs/>
          <w:color w:val="C56500"/>
          <w:sz w:val="22"/>
          <w:szCs w:val="22"/>
        </w:rPr>
        <w:t xml:space="preserve">Slide visual</w:t>
      </w:r>
    </w:p>
    <w:p>
      <w:pPr>
        <w:spacing w:after="120" w:line="320"/>
        <w:jc w:val="both"/>
      </w:pPr>
      <w:r>
        <w:rPr>
          <w:rFonts w:ascii="Calibri" w:cs="Calibri" w:eastAsia="Calibri" w:hAnsi="Calibri"/>
          <w:sz w:val="22"/>
          <w:szCs w:val="22"/>
        </w:rPr>
        <w:t xml:space="preserve">Thanks slide with project journal club credit. Logo or institutional mark may appear.</w:t>
      </w:r>
    </w:p>
    <w:p>
      <w:pPr>
        <w:spacing w:after="100" w:before="240"/>
      </w:pPr>
      <w:r>
        <w:rPr>
          <w:rFonts w:ascii="Calibri" w:cs="Calibri" w:eastAsia="Calibri" w:hAnsi="Calibri"/>
          <w:b/>
          <w:bCs/>
          <w:color w:val="C56500"/>
          <w:sz w:val="22"/>
          <w:szCs w:val="22"/>
        </w:rPr>
        <w:t xml:space="preserve">Speaker narrative</w:t>
      </w:r>
    </w:p>
    <w:p>
      <w:pPr>
        <w:pBdr>
          <w:left w:val="single" w:color="2E75B6" w:sz="16" w:space="12"/>
        </w:pBdr>
        <w:spacing w:after="140" w:before="60"/>
        <w:ind w:left="480" w:right="480"/>
      </w:pPr>
      <w:r>
        <w:rPr>
          <w:rFonts w:ascii="Calibri" w:cs="Calibri" w:eastAsia="Calibri" w:hAnsi="Calibri"/>
          <w:i/>
          <w:iCs/>
          <w:color w:val="404040"/>
          <w:sz w:val="22"/>
          <w:szCs w:val="22"/>
        </w:rPr>
        <w:t xml:space="preserve">I would like to thank my supervisor and the journal club members for their feedback and support throughout this project. I am happy to take any questions.</w:t>
      </w:r>
    </w:p>
    <w:p>
      <w:pPr>
        <w:pStyle w:val="Heading1"/>
        <w:pageBreakBefore/>
        <w:spacing w:after="180" w:before="360"/>
      </w:pPr>
      <w:r>
        <w:rPr>
          <w:rFonts w:ascii="Calibri" w:cs="Calibri" w:eastAsia="Calibri" w:hAnsi="Calibri"/>
          <w:b/>
          <w:bCs/>
          <w:color w:val="1F4E79"/>
          <w:sz w:val="32"/>
          <w:szCs w:val="32"/>
        </w:rPr>
        <w:t xml:space="preserve">Appendix: Comprehensive Q&amp;A Preparation</w:t>
      </w:r>
    </w:p>
    <w:p>
      <w:pPr>
        <w:spacing w:after="120" w:line="320"/>
        <w:jc w:val="both"/>
      </w:pPr>
      <w:r>
        <w:rPr>
          <w:rFonts w:ascii="Calibri" w:cs="Calibri" w:eastAsia="Calibri" w:hAnsi="Calibri"/>
          <w:sz w:val="22"/>
          <w:szCs w:val="22"/>
        </w:rPr>
        <w:t xml:space="preserve">Below are forty anticipated examiner questions with prepared answers, organized by category. The most likely questions are flagged with an asterisk (*).</w:t>
      </w:r>
    </w:p>
    <w:p>
      <w:pPr>
        <w:pStyle w:val="Heading2"/>
        <w:spacing w:after="120" w:before="240"/>
      </w:pPr>
      <w:r>
        <w:rPr>
          <w:rFonts w:ascii="Calibri" w:cs="Calibri" w:eastAsia="Calibri" w:hAnsi="Calibri"/>
          <w:b/>
          <w:bCs/>
          <w:color w:val="2E75B6"/>
          <w:sz w:val="26"/>
          <w:szCs w:val="26"/>
        </w:rPr>
        <w:t xml:space="preserve">A. Algorithmic foundations</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SAC and not PPO or other on-policy methods?</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SAC is off-policy, which is essential for replaying human demonstrations. PPO and other on-policy methods would discard the demo data after one epoch, defeating the purpose of HIL-SERL. SAC also has automatic temperature tuning, which removes one of the most sensitive hyperparameters in RL.</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REDQ-10 instead of vanilla SAC with twin critics?</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REDQ provides better value estimates with less overestimation bias by averaging over an ensemble. The reference implementation uses 10 critics with subsample 2, which is the configuration we adopted. Empirical work by Chen et al. 2021 shows REDQ-10 matches model-based methods in sample efficiency while remaining model-free.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is the role of the UTD ratio?</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UTD = updates per environment step. With UTD = 8, every environment interaction triggers eight gradient updates. This trades GPU compute for sample efficiency, which is the right trade-off when environment stepping is the bottleneck — true in our setup since the simulator runs at 10 Hz with rendering overhead.</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a target entropy of −3.5 specifically?</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It equals −d/2 for action dimension 7, which is the standard SAC author's recommendation. This sets the floor at which the temperature stops adapting: if the policy is more entropic than this, alpha decreases; if less, alpha increases. Empirically this works well across continuous-control tasks.</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does RLPD differ from standard demonstration-augmented RL?</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Standard methods use demonstrations as a fixed prior, often with a separate auxiliary loss. RLPD treats demonstrations as part of the replay buffer with a 50/50 mixing rule per batch. This means demonstrations remain influential throughout training, not just at initialization.</w:t>
      </w:r>
    </w:p>
    <w:p>
      <w:pPr>
        <w:spacing w:after="60"/>
      </w:pPr>
      <w:r>
        <w:t xml:space="preserve"/>
      </w:r>
    </w:p>
    <w:p>
      <w:pPr>
        <w:pStyle w:val="Heading2"/>
        <w:spacing w:after="120" w:before="240"/>
      </w:pPr>
      <w:r>
        <w:rPr>
          <w:rFonts w:ascii="Calibri" w:cs="Calibri" w:eastAsia="Calibri" w:hAnsi="Calibri"/>
          <w:b/>
          <w:bCs/>
          <w:color w:val="2E75B6"/>
          <w:sz w:val="26"/>
          <w:szCs w:val="26"/>
        </w:rPr>
        <w:t xml:space="preserve">B. Vision and perception</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a frozen ResNet-10 encoder, and why did you unfreeze it for A100?</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original choice (frozen) is to prevent the noisy RL gradient from degrading pretrained ImageNet features. For A100 deployment we unfroze it because the manipulation domain differs from ImageNet — the encoder benefits from adapting to robot views — and the larger compute makes the additional training cost negligible.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128×128 image resolution?</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It matches the demonstration data, which was collected at 128×128. Higher resolution would require re-collecting demonstrations and retraining the encoder. The reference implementation uses similar resolution (256×256 max) so we are within the established design space.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Are the two cameras necessary, or could you use one?</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Two cameras provide complementary information: the front camera gives global context, the wrist camera gives close-up grasp details. The reference implementation also uses two cameras. Single-camera ablations would be a useful future experiment but were not feasible within the project scope.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does DRQ-v2 actually augment?</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DRQ-v2 applies a random pixel shift (±6 pixels in our case) to each training image. This forces the policy to be invariant to small viewpoint changes, which improves both training stability and the eventual sim-to-real transfer.</w:t>
      </w:r>
    </w:p>
    <w:p>
      <w:pPr>
        <w:spacing w:after="60"/>
      </w:pPr>
      <w:r>
        <w:t xml:space="preserve"/>
      </w:r>
    </w:p>
    <w:p>
      <w:pPr>
        <w:pStyle w:val="Heading2"/>
        <w:spacing w:after="120" w:before="240"/>
      </w:pPr>
      <w:r>
        <w:rPr>
          <w:rFonts w:ascii="Calibri" w:cs="Calibri" w:eastAsia="Calibri" w:hAnsi="Calibri"/>
          <w:b/>
          <w:bCs/>
          <w:color w:val="2E75B6"/>
          <w:sz w:val="26"/>
          <w:szCs w:val="26"/>
        </w:rPr>
        <w:t xml:space="preserve">C. V1 vs V2 reward design</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both sparse and dense — why not pick one?</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Each represents a defensible design philosophy. Sparse trusts the framework to handle exploration; dense trusts the engineer to design correct shaping. By implementing both under matched conditions, we can empirically test which philosophy wins on this specific task. The result will inform future design decisions.</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do you prevent V2 from reward hacking?</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Three mechanisms. First, the lift component is the largest single reward and cannot be earned without actually moving the cube. Second, the +10 success bonus dominates any shaping artifact. Third, the policy_only_success metric in F6 catches divergence between episode_reward and actual success rate.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Could V2 lead to faster initial learning but worse final policy?</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Possible. This is precisely what the comparison aims to measure. If V2 dominates V1 in early training but plateaus at a lower success rate, that would be evidence that dense shaping leads to local optima. If V2 dominates throughout, the dense approach wins. Either result is publishable.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is the formal definition of 'success' for the lift task?</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simulation environment's info["succeed"] flag returns True when the cube z-coordinate exceeds the initial position by more than 10 cm AND the gripper remains in contact. Both conditions are deterministic and computed by the environment, making success a clean ground-truth signal.</w:t>
      </w:r>
    </w:p>
    <w:p>
      <w:pPr>
        <w:spacing w:after="60"/>
      </w:pPr>
      <w:r>
        <w:t xml:space="preserve"/>
      </w:r>
    </w:p>
    <w:p>
      <w:pPr>
        <w:pStyle w:val="Heading2"/>
        <w:spacing w:after="120" w:before="240"/>
      </w:pPr>
      <w:r>
        <w:rPr>
          <w:rFonts w:ascii="Calibri" w:cs="Calibri" w:eastAsia="Calibri" w:hAnsi="Calibri"/>
          <w:b/>
          <w:bCs/>
          <w:color w:val="2E75B6"/>
          <w:sz w:val="26"/>
          <w:szCs w:val="26"/>
        </w:rPr>
        <w:t xml:space="preserve">D. Logging and reproducibility</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32 logged columns? Isn't that overkill?</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Each column targets a specific paper figure or analysis: TD error decay, ensemble disagreement, actor loss decomposition, throughput. The cost is approximately 1% of training time, since they are computed under no_grad every log_freq=10 steps. The benefit is that any unforeseen analysis the examiner requests can be answered from the same CSV without re-training.</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do you ensure reproducibility across runs?</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experiment_metadata.json file captures: git commit hash and dirty flag, hostname, GPU model, Python version, and the full configuration dictionary. Combined with deterministic random seeds (seed=1000), any run can be reproduced exactly given the same code and hardware.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is the rolling_policy_only_success metric?</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It tracks the success rate of the last 20 episodes that had NO human intervention. This serves as a contamination-free measure of the learned policy's actual capability, complementing the standard rolling_success_rate which includes intervention episodes.</w:t>
      </w:r>
    </w:p>
    <w:p>
      <w:pPr>
        <w:spacing w:after="60"/>
      </w:pPr>
      <w:r>
        <w:t xml:space="preserve"/>
      </w:r>
    </w:p>
    <w:p>
      <w:pPr>
        <w:pStyle w:val="Heading2"/>
        <w:spacing w:after="120" w:before="240"/>
      </w:pPr>
      <w:r>
        <w:rPr>
          <w:rFonts w:ascii="Calibri" w:cs="Calibri" w:eastAsia="Calibri" w:hAnsi="Calibri"/>
          <w:b/>
          <w:bCs/>
          <w:color w:val="2E75B6"/>
          <w:sz w:val="26"/>
          <w:szCs w:val="26"/>
        </w:rPr>
        <w:t xml:space="preserve">E. Compute and infrastructure</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is the reference implementation OOM on RTX 3090?</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JAX's default behaviour is to preallocate 90% of GPU memory at startup. The reference uses both JAX and PyTorch, so they compete for the same card. Combined with 10 critics (REDQ), 1280×720 raw camera resolution, and a default 1M capacity replay buffer, the peak memory exceeds the 24 GB available on RTX 3090.</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Could you have used multi-GPU training?</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Possible but unnecessary. The bottleneck on A100 is environment stepping at 10 Hz, not GPU compute. Adding more GPUs would parallelize work that is already idle waiting for the simulator. Multi-GPU would help if we were training a vision foundation model, not a control policy.</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3-hour training budget instead of longer?</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Three hours covers approximately 100K environment steps at 10 Hz, which is more than three times the reference implementation's reported convergence point. Longer runs would primarily test stability rather than capability, and the marginal cost per hour of A100 time is significant.</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is the wall-clock cost of one training run?</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Approximately $3-4 on RunPod with RTX A6000 (sufficient for our config), or about $8 on Lambda Labs with A100-80G. For the full V1+V2 single-seed comparison, total compute cost is $20-30.</w:t>
      </w:r>
    </w:p>
    <w:p>
      <w:pPr>
        <w:spacing w:after="60"/>
      </w:pPr>
      <w:r>
        <w:t xml:space="preserve"/>
      </w:r>
    </w:p>
    <w:p>
      <w:pPr>
        <w:pStyle w:val="Heading2"/>
        <w:spacing w:after="120" w:before="240"/>
      </w:pPr>
      <w:r>
        <w:rPr>
          <w:rFonts w:ascii="Calibri" w:cs="Calibri" w:eastAsia="Calibri" w:hAnsi="Calibri"/>
          <w:b/>
          <w:bCs/>
          <w:color w:val="2E75B6"/>
          <w:sz w:val="26"/>
          <w:szCs w:val="26"/>
        </w:rPr>
        <w:t xml:space="preserve">F. Engineering and bugs</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Walk me through the warmup deadlock bug.</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Actor batches transitions and only sends them to the Learner at episode end. The Learner has a warmup threshold (online_step_before_learning) that must be reached before training begins. With episode_length around 86 steps and threshold 100, the Learner never reaches threshold from a single episode, the Actor never starts training, the human sees nothing happening, and stops the training. Fix: lower threshold to 50 AND add mid-episode streaming so transitions arrive in 50-step batches.</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did you discover the clutch_mode bug?</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By examining the experiment_metadata.json from a failed run. Every episode was flagged with intervention=YES, including ones where the operator confirmed they had not intervened. Tracing back through the TouchTeleop class revealed the clutch_mode default that effectively short-circuits the intervention logic.</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fix the output_dir issue with a wrapper script instead of a code change?</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wrapper approach is non-invasive — it adds a 30-line bash script and a one-line config change without touching the core lerobot codebase. This matters for upstream contribution: if I want to push this fix back to the original lerobot project, the smaller diff is more likely to be accepted.</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Is the gRPC overhead between Actor and Learner significant?</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Negligible relative to inference time. Each transition is approximately 100 KB (mostly the two camera images), sent at 10 Hz, totalling 1 MB/s — trivially handled by gRPC over localhost. The bigger issue is the policy weight push frequency (every 4 seconds), which is large (~50 MB) but infrequent.</w:t>
      </w:r>
    </w:p>
    <w:p>
      <w:pPr>
        <w:spacing w:after="60"/>
      </w:pPr>
      <w:r>
        <w:t xml:space="preserve"/>
      </w:r>
    </w:p>
    <w:p>
      <w:pPr>
        <w:pStyle w:val="Heading2"/>
        <w:spacing w:after="120" w:before="240"/>
      </w:pPr>
      <w:r>
        <w:rPr>
          <w:rFonts w:ascii="Calibri" w:cs="Calibri" w:eastAsia="Calibri" w:hAnsi="Calibri"/>
          <w:b/>
          <w:bCs/>
          <w:color w:val="2E75B6"/>
          <w:sz w:val="26"/>
          <w:szCs w:val="26"/>
        </w:rPr>
        <w:t xml:space="preserve">G. Future work</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would you transition to a real Franka Panda?</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pipeline is designed for transfer. The Actor process is environment-agnostic; only the make_robot_env factory function needs swapping. The trained simulation policy could be deployed zero-shot to test the sim-real gap, then fine-tuned with a few hours of real-world HIL-SERL training using the same Touch device.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Could this approach scale to bimanual manipulation?</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architecture supports it directly — both Actor and Learner are agnostic to the action dimension. The bottleneck would be human teleop: controlling two arms with one Touch device requires either two devices or careful UI design. The ALOHA-style bimanual teleop hardware (Zhao et al. 2023) would be a natural fit.</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about transfer to a different task, e.g. peg insertion?</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framework is task-agnostic. For peg insertion, the changes would be: a new gym environment, a new success classifier (if using V1 sparse), a new dense reward function (if using V2), and new demonstrations. The SAC + REDQ + RLPD core remains unchanged.</w:t>
      </w:r>
    </w:p>
    <w:p>
      <w:pPr>
        <w:spacing w:after="60"/>
      </w:pPr>
      <w:r>
        <w:t xml:space="preserve"/>
      </w:r>
    </w:p>
    <w:p>
      <w:pPr>
        <w:pStyle w:val="Heading2"/>
        <w:spacing w:after="120" w:before="240"/>
      </w:pPr>
      <w:r>
        <w:rPr>
          <w:rFonts w:ascii="Calibri" w:cs="Calibri" w:eastAsia="Calibri" w:hAnsi="Calibri"/>
          <w:b/>
          <w:bCs/>
          <w:color w:val="2E75B6"/>
          <w:sz w:val="26"/>
          <w:szCs w:val="26"/>
        </w:rPr>
        <w:t xml:space="preserve">H. Theoretical considerations</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Is HIL-SERL theoretically guaranteed to converge?</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No formal convergence guarantees exist for the full HIL-SERL pipeline because human interventions are a non-stationary distribution shift. SAC alone has convergence guarantees under standard assumptions (smooth Q-function, bounded reward, etc.), but adding RLPD and human interventions breaks these assumptions. Empirical convergence is the only thing we can claim.</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do interventions affect the SAC update mathematically?</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Interventions appear as state-action pairs in the replay buffer, treated identically to policy-generated experience for the critic update. For the actor update, interventions are excluded from policy gradient (since the action did not come from the policy), but their on-policy Q-values still inform the critic. This is the RLPD mixing principle applied to interventions.</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Why doesn't gradient clipping at 1.0 work even when 100 does?</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With sparse rewards, early-training Q-values are noisy and TD errors are large. Clipping at 1.0 caps the gradient magnitude to a fraction of the actual signal, slowing critic learning by ten times or more. The reference implementation uses no clipping; we set 100 as a safety net for numerical edge cases without bottlenecking the typical case.</w:t>
      </w:r>
    </w:p>
    <w:p>
      <w:pPr>
        <w:spacing w:after="60"/>
      </w:pPr>
      <w:r>
        <w:t xml:space="preserve"/>
      </w:r>
    </w:p>
    <w:p>
      <w:pPr>
        <w:pStyle w:val="Heading2"/>
        <w:spacing w:after="120" w:before="240"/>
      </w:pPr>
      <w:r>
        <w:rPr>
          <w:rFonts w:ascii="Calibri" w:cs="Calibri" w:eastAsia="Calibri" w:hAnsi="Calibri"/>
          <w:b/>
          <w:bCs/>
          <w:color w:val="2E75B6"/>
          <w:sz w:val="26"/>
          <w:szCs w:val="26"/>
        </w:rPr>
        <w:t xml:space="preserve">I. Limitations</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are the main limitations of your work?</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Five honest limitations. First, single-seed evaluation — claims of statistical significance would require multiple seeds. Second, simulation-only — no real-robot validation yet. Third, single task — pick-and-lift may not generalize to longer horizons. Fourth, the Touch teleop device is expensive and limits accessibility. Fifth, the V2 dense reward requires privileged state access (cube position), which is unavailable on a real robot without external tracking.</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does the simulator's accuracy affect your conclusions?</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The SurRoL v2 / MuJoCo simulator has known limitations in contact dynamics, particularly at the gripper-object interface. Our results are valid for the simulator but transfer to real Franka hardware is an open question. The DRQ augmentation is specifically chosen to help here.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Do your results generalize beyond the specific cube?</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Within the same task family (rigid object pick-and-place at small scale), generalization should be reasonable since the visual policy operates on RGB images of any object. Domain randomization of object color and shape would strengthen this claim — listed as future work.</w:t>
      </w:r>
    </w:p>
    <w:p>
      <w:pPr>
        <w:spacing w:after="60"/>
      </w:pPr>
      <w:r>
        <w:t xml:space="preserve"/>
      </w:r>
    </w:p>
    <w:p>
      <w:pPr>
        <w:pStyle w:val="Heading2"/>
        <w:spacing w:after="120" w:before="240"/>
      </w:pPr>
      <w:r>
        <w:rPr>
          <w:rFonts w:ascii="Calibri" w:cs="Calibri" w:eastAsia="Calibri" w:hAnsi="Calibri"/>
          <w:b/>
          <w:bCs/>
          <w:color w:val="2E75B6"/>
          <w:sz w:val="26"/>
          <w:szCs w:val="26"/>
        </w:rPr>
        <w:t xml:space="preserve">J. Process and lessons learned</w:t>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How long did the engineering work take?</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Approximately three to four weeks of focused work over the project timeline. The bug analysis was the longest phase (about a week of careful experimentation), followed by the logging system (one week), and the A100 upgrade (a few days). The DRQ implementation was about half a day.</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was the hardest technical decision?</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Deciding whether to upgrade to REDQ-10 with UTD-8, or stick closer to vanilla SAC. REDQ provides large sample-efficiency gains but increases compute cost by an order of magnitude. The decision was driven by the A100 hardware availability — without it, REDQ-10 would have been infeasible.</w:t>
      </w:r>
    </w:p>
    <w:p>
      <w:pPr>
        <w:spacing w:after="60"/>
      </w:pPr>
      <w:r>
        <w:t xml:space="preserve"/>
      </w:r>
    </w:p>
    <w:p>
      <w:pPr>
        <w:spacing w:after="120" w:line="320"/>
        <w:jc w:val="both"/>
      </w:pPr>
      <w:r>
        <w:rPr>
          <w:rFonts w:ascii="Calibri" w:cs="Calibri" w:eastAsia="Calibri" w:hAnsi="Calibri"/>
          <w:b/>
          <w:bCs/>
          <w:color w:val="1F4E79"/>
          <w:sz w:val="22"/>
          <w:szCs w:val="22"/>
        </w:rPr>
        <w:t xml:space="preserve">Q: </w:t>
      </w:r>
      <w:r>
        <w:rPr>
          <w:rFonts w:ascii="Calibri" w:cs="Calibri" w:eastAsia="Calibri" w:hAnsi="Calibri"/>
          <w:sz w:val="22"/>
          <w:szCs w:val="22"/>
        </w:rPr>
        <w:t xml:space="preserve">What did you learn from the project that will influence future work?</w:t>
      </w:r>
    </w:p>
    <w:p>
      <w:pPr>
        <w:spacing w:after="120" w:line="320"/>
        <w:jc w:val="both"/>
      </w:pPr>
      <w:r>
        <w:rPr>
          <w:rFonts w:ascii="Calibri" w:cs="Calibri" w:eastAsia="Calibri" w:hAnsi="Calibri"/>
          <w:b/>
          <w:bCs/>
          <w:color w:val="C56500"/>
          <w:sz w:val="22"/>
          <w:szCs w:val="22"/>
        </w:rPr>
        <w:t xml:space="preserve">A: </w:t>
      </w:r>
      <w:r>
        <w:rPr>
          <w:rFonts w:ascii="Calibri" w:cs="Calibri" w:eastAsia="Calibri" w:hAnsi="Calibri"/>
          <w:sz w:val="22"/>
          <w:szCs w:val="22"/>
        </w:rPr>
        <w:t xml:space="preserve">Three lessons. First, reproducibility is harder than novelty for many practical RL systems. Second, the right level of abstraction for HIL is the gRPC actor-learner separation — coarser is too rigid, finer is too fragile. Third, dense reward shaping is risky but underappreciated as a lever when sparse rewards leave the policy stuck.</w:t>
      </w:r>
    </w:p>
    <w:p>
      <w:pPr>
        <w:spacing w:after="60"/>
      </w:pPr>
      <w:r>
        <w:t xml:space="preserve"/>
      </w:r>
    </w:p>
    <w:p>
      <w:pPr>
        <w:pStyle w:val="Heading1"/>
        <w:pageBreakBefore/>
        <w:spacing w:after="180" w:before="360"/>
      </w:pPr>
      <w:r>
        <w:rPr>
          <w:rFonts w:ascii="Calibri" w:cs="Calibri" w:eastAsia="Calibri" w:hAnsi="Calibri"/>
          <w:b/>
          <w:bCs/>
          <w:color w:val="1F4E79"/>
          <w:sz w:val="32"/>
          <w:szCs w:val="32"/>
        </w:rPr>
        <w:t xml:space="preserve">Appendix: Defense Delivery Tips</w:t>
      </w:r>
    </w:p>
    <w:p>
      <w:pPr>
        <w:pStyle w:val="Heading2"/>
        <w:spacing w:after="120" w:before="240"/>
      </w:pPr>
      <w:r>
        <w:rPr>
          <w:rFonts w:ascii="Calibri" w:cs="Calibri" w:eastAsia="Calibri" w:hAnsi="Calibri"/>
          <w:b/>
          <w:bCs/>
          <w:color w:val="2E75B6"/>
          <w:sz w:val="26"/>
          <w:szCs w:val="26"/>
        </w:rPr>
        <w:t xml:space="preserve">Pacing</w:t>
      </w:r>
    </w:p>
    <w:p>
      <w:pPr>
        <w:pStyle w:val="ListParagraph"/>
        <w:numPr>
          <w:ilvl w:val="0"/>
          <w:numId w:val="2"/>
        </w:numPr>
        <w:spacing w:after="60" w:line="280"/>
      </w:pPr>
      <w:r>
        <w:rPr>
          <w:rFonts w:ascii="Calibri" w:cs="Calibri" w:eastAsia="Calibri" w:hAnsi="Calibri"/>
          <w:sz w:val="22"/>
          <w:szCs w:val="22"/>
        </w:rPr>
        <w:t xml:space="preserve">Speak at approximately 130–140 words per minute (slightly slower than conversational), giving examiners time to absorb technical content.</w:t>
      </w:r>
    </w:p>
    <w:p>
      <w:pPr>
        <w:pStyle w:val="ListParagraph"/>
        <w:numPr>
          <w:ilvl w:val="0"/>
          <w:numId w:val="2"/>
        </w:numPr>
        <w:spacing w:after="60" w:line="280"/>
      </w:pPr>
      <w:r>
        <w:rPr>
          <w:rFonts w:ascii="Calibri" w:cs="Calibri" w:eastAsia="Calibri" w:hAnsi="Calibri"/>
          <w:sz w:val="22"/>
          <w:szCs w:val="22"/>
        </w:rPr>
        <w:t xml:space="preserve">Pause for one full second after each slide transition, even if it feels long.</w:t>
      </w:r>
    </w:p>
    <w:p>
      <w:pPr>
        <w:pStyle w:val="ListParagraph"/>
        <w:numPr>
          <w:ilvl w:val="0"/>
          <w:numId w:val="2"/>
        </w:numPr>
        <w:spacing w:after="60" w:line="280"/>
      </w:pPr>
      <w:r>
        <w:rPr>
          <w:rFonts w:ascii="Calibri" w:cs="Calibri" w:eastAsia="Calibri" w:hAnsi="Calibri"/>
          <w:sz w:val="22"/>
          <w:szCs w:val="22"/>
        </w:rPr>
        <w:t xml:space="preserve">Pause for two seconds after introducing a new equation or formula on screen.</w:t>
      </w:r>
    </w:p>
    <w:p>
      <w:pPr>
        <w:pStyle w:val="ListParagraph"/>
        <w:numPr>
          <w:ilvl w:val="0"/>
          <w:numId w:val="2"/>
        </w:numPr>
        <w:spacing w:after="60" w:line="280"/>
      </w:pPr>
      <w:r>
        <w:rPr>
          <w:rFonts w:ascii="Calibri" w:cs="Calibri" w:eastAsia="Calibri" w:hAnsi="Calibri"/>
          <w:sz w:val="22"/>
          <w:szCs w:val="22"/>
        </w:rPr>
        <w:t xml:space="preserve">Use the slide visual descriptions in this document to verify you are pointing at the correct element while speaking.</w:t>
      </w:r>
    </w:p>
    <w:p>
      <w:pPr>
        <w:pStyle w:val="Heading2"/>
        <w:spacing w:after="120" w:before="240"/>
      </w:pPr>
      <w:r>
        <w:rPr>
          <w:rFonts w:ascii="Calibri" w:cs="Calibri" w:eastAsia="Calibri" w:hAnsi="Calibri"/>
          <w:b/>
          <w:bCs/>
          <w:color w:val="2E75B6"/>
          <w:sz w:val="26"/>
          <w:szCs w:val="26"/>
        </w:rPr>
        <w:t xml:space="preserve">Voice and presence</w:t>
      </w:r>
    </w:p>
    <w:p>
      <w:pPr>
        <w:pStyle w:val="ListParagraph"/>
        <w:numPr>
          <w:ilvl w:val="0"/>
          <w:numId w:val="2"/>
        </w:numPr>
        <w:spacing w:after="60" w:line="280"/>
      </w:pPr>
      <w:r>
        <w:rPr>
          <w:rFonts w:ascii="Calibri" w:cs="Calibri" w:eastAsia="Calibri" w:hAnsi="Calibri"/>
          <w:sz w:val="22"/>
          <w:szCs w:val="22"/>
        </w:rPr>
        <w:t xml:space="preserve">Begin each slide with a complete sentence, not a fragment ("This slide shows…" rather than "So, here we have…").</w:t>
      </w:r>
    </w:p>
    <w:p>
      <w:pPr>
        <w:pStyle w:val="ListParagraph"/>
        <w:numPr>
          <w:ilvl w:val="0"/>
          <w:numId w:val="2"/>
        </w:numPr>
        <w:spacing w:after="60" w:line="280"/>
      </w:pPr>
      <w:r>
        <w:rPr>
          <w:rFonts w:ascii="Calibri" w:cs="Calibri" w:eastAsia="Calibri" w:hAnsi="Calibri"/>
          <w:sz w:val="22"/>
          <w:szCs w:val="22"/>
        </w:rPr>
        <w:t xml:space="preserve">Vary tone between explanation (lower, deliberate) and emphasis (slightly higher, faster).</w:t>
      </w:r>
    </w:p>
    <w:p>
      <w:pPr>
        <w:pStyle w:val="ListParagraph"/>
        <w:numPr>
          <w:ilvl w:val="0"/>
          <w:numId w:val="2"/>
        </w:numPr>
        <w:spacing w:after="60" w:line="280"/>
      </w:pPr>
      <w:r>
        <w:rPr>
          <w:rFonts w:ascii="Calibri" w:cs="Calibri" w:eastAsia="Calibri" w:hAnsi="Calibri"/>
          <w:sz w:val="22"/>
          <w:szCs w:val="22"/>
        </w:rPr>
        <w:t xml:space="preserve">End sentences with confident downward intonation — never upward, which sounds uncertain.</w:t>
      </w:r>
    </w:p>
    <w:p>
      <w:pPr>
        <w:pStyle w:val="Heading2"/>
        <w:spacing w:after="120" w:before="240"/>
      </w:pPr>
      <w:r>
        <w:rPr>
          <w:rFonts w:ascii="Calibri" w:cs="Calibri" w:eastAsia="Calibri" w:hAnsi="Calibri"/>
          <w:b/>
          <w:bCs/>
          <w:color w:val="2E75B6"/>
          <w:sz w:val="26"/>
          <w:szCs w:val="26"/>
        </w:rPr>
        <w:t xml:space="preserve">Handling difficult questions</w:t>
      </w:r>
    </w:p>
    <w:p>
      <w:pPr>
        <w:pStyle w:val="ListParagraph"/>
        <w:numPr>
          <w:ilvl w:val="0"/>
          <w:numId w:val="2"/>
        </w:numPr>
        <w:spacing w:after="60" w:line="280"/>
      </w:pPr>
      <w:r>
        <w:rPr>
          <w:rFonts w:ascii="Calibri" w:cs="Calibri" w:eastAsia="Calibri" w:hAnsi="Calibri"/>
          <w:sz w:val="22"/>
          <w:szCs w:val="22"/>
        </w:rPr>
        <w:t xml:space="preserve">If you don't know the answer, say so immediately and offer what you do know about the surrounding topic.</w:t>
      </w:r>
    </w:p>
    <w:p>
      <w:pPr>
        <w:pStyle w:val="ListParagraph"/>
        <w:numPr>
          <w:ilvl w:val="0"/>
          <w:numId w:val="2"/>
        </w:numPr>
        <w:spacing w:after="60" w:line="280"/>
      </w:pPr>
      <w:r>
        <w:rPr>
          <w:rFonts w:ascii="Calibri" w:cs="Calibri" w:eastAsia="Calibri" w:hAnsi="Calibri"/>
          <w:sz w:val="22"/>
          <w:szCs w:val="22"/>
        </w:rPr>
        <w:t xml:space="preserve">If a question contains an incorrect premise, gently correct it: "I think the question assumes X, but actually..."</w:t>
      </w:r>
    </w:p>
    <w:p>
      <w:pPr>
        <w:pStyle w:val="ListParagraph"/>
        <w:numPr>
          <w:ilvl w:val="0"/>
          <w:numId w:val="2"/>
        </w:numPr>
        <w:spacing w:after="60" w:line="280"/>
      </w:pPr>
      <w:r>
        <w:rPr>
          <w:rFonts w:ascii="Calibri" w:cs="Calibri" w:eastAsia="Calibri" w:hAnsi="Calibri"/>
          <w:sz w:val="22"/>
          <w:szCs w:val="22"/>
        </w:rPr>
        <w:t xml:space="preserve">If two examiners disagree about something, acknowledge both views before responding to the actual question.</w:t>
      </w:r>
    </w:p>
    <w:p>
      <w:pPr>
        <w:pStyle w:val="ListParagraph"/>
        <w:numPr>
          <w:ilvl w:val="0"/>
          <w:numId w:val="2"/>
        </w:numPr>
        <w:spacing w:after="60" w:line="280"/>
      </w:pPr>
      <w:r>
        <w:rPr>
          <w:rFonts w:ascii="Calibri" w:cs="Calibri" w:eastAsia="Calibri" w:hAnsi="Calibri"/>
          <w:sz w:val="22"/>
          <w:szCs w:val="22"/>
        </w:rPr>
        <w:t xml:space="preserve">If a question is genuinely difficult, take a deep breath and verbalize your thought process: "Let me think through this. The key consideration is..."</w:t>
      </w:r>
    </w:p>
    <w:p>
      <w:pPr>
        <w:pStyle w:val="Heading2"/>
        <w:spacing w:after="120" w:before="240"/>
      </w:pPr>
      <w:r>
        <w:rPr>
          <w:rFonts w:ascii="Calibri" w:cs="Calibri" w:eastAsia="Calibri" w:hAnsi="Calibri"/>
          <w:b/>
          <w:bCs/>
          <w:color w:val="2E75B6"/>
          <w:sz w:val="26"/>
          <w:szCs w:val="26"/>
        </w:rPr>
        <w:t xml:space="preserve">Common defense mistakes to avoid</w:t>
      </w:r>
    </w:p>
    <w:p>
      <w:pPr>
        <w:pStyle w:val="ListParagraph"/>
        <w:numPr>
          <w:ilvl w:val="0"/>
          <w:numId w:val="2"/>
        </w:numPr>
        <w:spacing w:after="60" w:line="280"/>
      </w:pPr>
      <w:r>
        <w:rPr>
          <w:rFonts w:ascii="Calibri" w:cs="Calibri" w:eastAsia="Calibri" w:hAnsi="Calibri"/>
          <w:sz w:val="22"/>
          <w:szCs w:val="22"/>
        </w:rPr>
        <w:t xml:space="preserve">Reading slides verbatim — examiners can read faster than you can speak.</w:t>
      </w:r>
    </w:p>
    <w:p>
      <w:pPr>
        <w:pStyle w:val="ListParagraph"/>
        <w:numPr>
          <w:ilvl w:val="0"/>
          <w:numId w:val="2"/>
        </w:numPr>
        <w:spacing w:after="60" w:line="280"/>
      </w:pPr>
      <w:r>
        <w:rPr>
          <w:rFonts w:ascii="Calibri" w:cs="Calibri" w:eastAsia="Calibri" w:hAnsi="Calibri"/>
          <w:sz w:val="22"/>
          <w:szCs w:val="22"/>
        </w:rPr>
        <w:t xml:space="preserve">Apologizing for limitations — instead, frame them as well-understood scope choices.</w:t>
      </w:r>
    </w:p>
    <w:p>
      <w:pPr>
        <w:pStyle w:val="ListParagraph"/>
        <w:numPr>
          <w:ilvl w:val="0"/>
          <w:numId w:val="2"/>
        </w:numPr>
        <w:spacing w:after="60" w:line="280"/>
      </w:pPr>
      <w:r>
        <w:rPr>
          <w:rFonts w:ascii="Calibri" w:cs="Calibri" w:eastAsia="Calibri" w:hAnsi="Calibri"/>
          <w:sz w:val="22"/>
          <w:szCs w:val="22"/>
        </w:rPr>
        <w:t xml:space="preserve">Starting answers with "That's a great question" — adds nothing and sounds defensive.</w:t>
      </w:r>
    </w:p>
    <w:p>
      <w:pPr>
        <w:pStyle w:val="ListParagraph"/>
        <w:numPr>
          <w:ilvl w:val="0"/>
          <w:numId w:val="2"/>
        </w:numPr>
        <w:spacing w:after="60" w:line="280"/>
      </w:pPr>
      <w:r>
        <w:rPr>
          <w:rFonts w:ascii="Calibri" w:cs="Calibri" w:eastAsia="Calibri" w:hAnsi="Calibri"/>
          <w:sz w:val="22"/>
          <w:szCs w:val="22"/>
        </w:rPr>
        <w:t xml:space="preserve">Going over time — practice the talk twice with a timer; the speaker notes in this document target 12 minutes total.</w:t>
      </w:r>
    </w:p>
    <w:p>
      <w:pPr>
        <w:pStyle w:val="Heading2"/>
        <w:spacing w:after="120" w:before="240"/>
      </w:pPr>
      <w:r>
        <w:rPr>
          <w:rFonts w:ascii="Calibri" w:cs="Calibri" w:eastAsia="Calibri" w:hAnsi="Calibri"/>
          <w:b/>
          <w:bCs/>
          <w:color w:val="2E75B6"/>
          <w:sz w:val="26"/>
          <w:szCs w:val="26"/>
        </w:rPr>
        <w:t xml:space="preserve">Technical fallback</w:t>
      </w:r>
    </w:p>
    <w:p>
      <w:pPr>
        <w:pStyle w:val="ListParagraph"/>
        <w:numPr>
          <w:ilvl w:val="0"/>
          <w:numId w:val="2"/>
        </w:numPr>
        <w:spacing w:after="60" w:line="280"/>
      </w:pPr>
      <w:r>
        <w:rPr>
          <w:rFonts w:ascii="Calibri" w:cs="Calibri" w:eastAsia="Calibri" w:hAnsi="Calibri"/>
          <w:sz w:val="22"/>
          <w:szCs w:val="22"/>
        </w:rPr>
        <w:t xml:space="preserve">If the projector fails, you have this document as a backup. The slide visual descriptions allow examiners to follow along verbally.</w:t>
      </w:r>
    </w:p>
    <w:p>
      <w:pPr>
        <w:pStyle w:val="ListParagraph"/>
        <w:numPr>
          <w:ilvl w:val="0"/>
          <w:numId w:val="2"/>
        </w:numPr>
        <w:spacing w:after="60" w:line="280"/>
      </w:pPr>
      <w:r>
        <w:rPr>
          <w:rFonts w:ascii="Calibri" w:cs="Calibri" w:eastAsia="Calibri" w:hAnsi="Calibri"/>
          <w:sz w:val="22"/>
          <w:szCs w:val="22"/>
        </w:rPr>
        <w:t xml:space="preserve">If asked to demonstrate the trained policy, the GitHub repository (LIJianxuanLeo/hilserl-surrol-improved) contains complete code and a one-click deployment script.</w:t>
      </w:r>
    </w:p>
    <w:p>
      <w:pPr>
        <w:pStyle w:val="ListParagraph"/>
        <w:numPr>
          <w:ilvl w:val="0"/>
          <w:numId w:val="2"/>
        </w:numPr>
        <w:spacing w:after="60" w:line="280"/>
      </w:pPr>
      <w:r>
        <w:rPr>
          <w:rFonts w:ascii="Calibri" w:cs="Calibri" w:eastAsia="Calibri" w:hAnsi="Calibri"/>
          <w:sz w:val="22"/>
          <w:szCs w:val="22"/>
        </w:rPr>
        <w:t xml:space="preserve">If asked for the actual training data, point examiners to the docs/report/ directory for the full project report and parameter comparison documents.</w:t>
      </w:r>
    </w:p>
    <w:p>
      <w:pPr>
        <w:pStyle w:val="Heading2"/>
        <w:spacing w:after="120" w:before="240"/>
      </w:pPr>
      <w:r>
        <w:rPr>
          <w:rFonts w:ascii="Calibri" w:cs="Calibri" w:eastAsia="Calibri" w:hAnsi="Calibri"/>
          <w:b/>
          <w:bCs/>
          <w:color w:val="2E75B6"/>
          <w:sz w:val="26"/>
          <w:szCs w:val="26"/>
        </w:rPr>
        <w:t xml:space="preserve">Closing line options</w:t>
      </w:r>
    </w:p>
    <w:p>
      <w:pPr>
        <w:pStyle w:val="ListParagraph"/>
        <w:numPr>
          <w:ilvl w:val="0"/>
          <w:numId w:val="2"/>
        </w:numPr>
        <w:spacing w:after="60" w:line="280"/>
      </w:pPr>
      <w:r>
        <w:rPr>
          <w:rFonts w:ascii="Calibri" w:cs="Calibri" w:eastAsia="Calibri" w:hAnsi="Calibri"/>
          <w:sz w:val="22"/>
          <w:szCs w:val="22"/>
        </w:rPr>
        <w:t xml:space="preserve">If pressed for time: "Thank you. I am happy to take questions."</w:t>
      </w:r>
    </w:p>
    <w:p>
      <w:pPr>
        <w:pStyle w:val="ListParagraph"/>
        <w:numPr>
          <w:ilvl w:val="0"/>
          <w:numId w:val="2"/>
        </w:numPr>
        <w:spacing w:after="60" w:line="280"/>
      </w:pPr>
      <w:r>
        <w:rPr>
          <w:rFonts w:ascii="Calibri" w:cs="Calibri" w:eastAsia="Calibri" w:hAnsi="Calibri"/>
          <w:sz w:val="22"/>
          <w:szCs w:val="22"/>
        </w:rPr>
        <w:t xml:space="preserve">If under time: "That concludes the planned content. I would welcome any questions about the design choices, the engineering work, or possible extensions."</w:t>
      </w:r>
    </w:p>
    <w:p>
      <w:pPr>
        <w:pStyle w:val="ListParagraph"/>
        <w:numPr>
          <w:ilvl w:val="0"/>
          <w:numId w:val="2"/>
        </w:numPr>
        <w:spacing w:after="60" w:line="280"/>
      </w:pPr>
      <w:r>
        <w:rPr>
          <w:rFonts w:ascii="Calibri" w:cs="Calibri" w:eastAsia="Calibri" w:hAnsi="Calibri"/>
          <w:sz w:val="22"/>
          <w:szCs w:val="22"/>
        </w:rPr>
        <w:t xml:space="preserve">If a question runs long: "That's an excellent question that I think we could discuss further offline. Briefly, my view 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ZHU Jingjie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MSC Defense — HIL-SERL for Robotic Pick-and-Lift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Defense Speech Notes — HIL-SERL for Robotic Pick-and-Lift</dc:title>
  <dc:creator>ZHU Jingjie</dc:creator>
  <dc:description>Defense speech notes accompanying the 11-slide MSC project presentation</dc:description>
  <cp:lastModifiedBy>Un-named</cp:lastModifiedBy>
  <cp:revision>1</cp:revision>
  <dcterms:created xsi:type="dcterms:W3CDTF">2026-04-29T14:10:58.741Z</dcterms:created>
  <dcterms:modified xsi:type="dcterms:W3CDTF">2026-04-29T14:10:58.744Z</dcterms:modified>
</cp:coreProperties>
</file>

<file path=docProps/custom.xml><?xml version="1.0" encoding="utf-8"?>
<Properties xmlns="http://schemas.openxmlformats.org/officeDocument/2006/custom-properties" xmlns:vt="http://schemas.openxmlformats.org/officeDocument/2006/docPropsVTypes"/>
</file>