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40"/>
        <w:jc w:val="center"/>
      </w:pPr>
      <w:r>
        <w:rPr>
          <w:rFonts w:ascii="Times New Roman" w:cs="Times New Roman" w:eastAsia="Times New Roman" w:hAnsi="Times New Roman"/>
          <w:b/>
          <w:bCs/>
          <w:color w:val="000000"/>
          <w:sz w:val="32"/>
          <w:szCs w:val="32"/>
        </w:rPr>
        <w:t xml:space="preserve">LiteClaw: A Lightweight Autonomous AI Agent Framework</w:t>
      </w:r>
    </w:p>
    <w:p>
      <w:pPr>
        <w:spacing w:after="360" w:line="240"/>
        <w:jc w:val="center"/>
      </w:pPr>
      <w:r>
        <w:rPr>
          <w:rFonts w:ascii="Times New Roman" w:cs="Times New Roman" w:eastAsia="Times New Roman" w:hAnsi="Times New Roman"/>
          <w:color w:val="000000"/>
          <w:sz w:val="28"/>
          <w:szCs w:val="28"/>
        </w:rPr>
        <w:t xml:space="preserve">Technical Report</w:t>
      </w:r>
    </w:p>
    <w:p>
      <w:pPr>
        <w:spacing w:after="120" w:before="240" w:line="240"/>
        <w:jc w:val="left"/>
      </w:pPr>
      <w:r>
        <w:rPr>
          <w:rFonts w:ascii="Times New Roman" w:cs="Times New Roman" w:eastAsia="Times New Roman" w:hAnsi="Times New Roman"/>
          <w:b/>
          <w:bCs/>
          <w:color w:val="000000"/>
          <w:sz w:val="28"/>
          <w:szCs w:val="28"/>
        </w:rPr>
        <w:t xml:space="preserve">1. Abstract</w:t>
      </w:r>
    </w:p>
    <w:p>
      <w:pPr>
        <w:spacing w:after="120" w:before="0" w:line="240"/>
        <w:ind w:firstLine="720"/>
        <w:jc w:val="both"/>
      </w:pPr>
      <w:r>
        <w:rPr>
          <w:rFonts w:ascii="Times New Roman" w:cs="Times New Roman" w:eastAsia="Times New Roman" w:hAnsi="Times New Roman"/>
          <w:color w:val="000000"/>
          <w:sz w:val="24"/>
          <w:szCs w:val="24"/>
        </w:rPr>
        <w:t xml:space="preserve">LiteClaw is a lightweight, open-source autonomous AI agent framework built with TypeScript and Node.js. Inspired by OpenClaw, which comprises approximately 500,000 lines of code, and NanoClaw, which achieves a minimal footprint of approximately 3,900 lines, LiteClaw delivers comparable core functionality in approximately 2,500 lines of backend code with only six production dependencies. The framework implements an agentic reasoning loop that enables a large language model (LLM) to iteratively invoke tools—including shell execution, file management, web access, and persistent memory—to accomplish complex tasks autonomously. LiteClaw supports multiple LLM providers, namely Anthropic Claude, DeepSeek, and Groq, and offers both a command-line interface and a React-based web interface with real-time WebSocket streaming. This report presents the design, architecture, implementation, and evaluation of LiteClaw as a contribution to the growing ecosystem of autonomous AI agent frameworks.</w:t>
      </w:r>
    </w:p>
    <w:p>
      <w:pPr>
        <w:spacing w:after="120" w:before="240" w:line="240"/>
        <w:jc w:val="left"/>
      </w:pPr>
      <w:r>
        <w:rPr>
          <w:rFonts w:ascii="Times New Roman" w:cs="Times New Roman" w:eastAsia="Times New Roman" w:hAnsi="Times New Roman"/>
          <w:b/>
          <w:bCs/>
          <w:color w:val="000000"/>
          <w:sz w:val="28"/>
          <w:szCs w:val="28"/>
        </w:rPr>
        <w:t xml:space="preserve">2. Introduction</w:t>
      </w:r>
    </w:p>
    <w:p>
      <w:pPr>
        <w:spacing w:after="120" w:before="0" w:line="240"/>
        <w:ind w:firstLine="720"/>
        <w:jc w:val="both"/>
      </w:pPr>
      <w:r>
        <w:rPr>
          <w:rFonts w:ascii="Times New Roman" w:cs="Times New Roman" w:eastAsia="Times New Roman" w:hAnsi="Times New Roman"/>
          <w:color w:val="000000"/>
          <w:sz w:val="24"/>
          <w:szCs w:val="24"/>
        </w:rPr>
        <w:t xml:space="preserve">The emergence of autonomous AI agents represents a significant paradigm shift in human-computer interaction. Unlike traditional chatbots that are confined to generating text responses, autonomous agents possess the ability to execute actions on behalf of the user, including running shell commands, manipulating files, browsing the web, and interacting with external services. This capability transforms AI systems from passive conversational partners into active task executors.</w:t>
      </w:r>
    </w:p>
    <w:p>
      <w:pPr>
        <w:spacing w:after="120" w:before="0" w:line="240"/>
        <w:ind w:firstLine="720"/>
        <w:jc w:val="both"/>
      </w:pPr>
      <w:r>
        <w:rPr>
          <w:rFonts w:ascii="Times New Roman" w:cs="Times New Roman" w:eastAsia="Times New Roman" w:hAnsi="Times New Roman"/>
          <w:color w:val="000000"/>
          <w:sz w:val="24"/>
          <w:szCs w:val="24"/>
        </w:rPr>
        <w:t xml:space="preserve">OpenClaw, released in late 2025 and rapidly accumulating over 135,000 GitHub stars, exemplifies this trend. It provides a comprehensive autonomous agent platform with multi-channel messaging integration (WhatsApp, Telegram, Slack, Discord, and others), a community-extensible skill system with over 700 contributed skills, and support for multiple LLM backends. However, OpenClaw’s extensive codebase of approximately 500,000 lines of code, 53 configuration files, and over 70 dependencies presents significant challenges in terms of auditability, security, and maintainability. Indeed, the project experienced a major security incident involving 335 malicious skills in its registry and a cross-site WebSocket hijacking vulnerability (CVE-2026-25253, CVSS 8.8), exposing over 21,000 instances to API key leakage.</w:t>
      </w:r>
    </w:p>
    <w:p>
      <w:pPr>
        <w:spacing w:after="120" w:before="0" w:line="240"/>
        <w:ind w:firstLine="720"/>
        <w:jc w:val="both"/>
      </w:pPr>
      <w:r>
        <w:rPr>
          <w:rFonts w:ascii="Times New Roman" w:cs="Times New Roman" w:eastAsia="Times New Roman" w:hAnsi="Times New Roman"/>
          <w:color w:val="000000"/>
          <w:sz w:val="24"/>
          <w:szCs w:val="24"/>
        </w:rPr>
        <w:t xml:space="preserve">NanoClaw emerged as a response to these concerns, offering a minimal alternative built on Anthropic’s Claude Agent SDK. With approximately 3,900 lines of code across 15 files, NanoClaw prioritizes security through OS-level container isolation using Docker on Linux and Apple Container on macOS. However, NanoClaw is limited to a single LLM provider (Claude) and lacks a graphical user interface.</w:t>
      </w:r>
    </w:p>
    <w:p>
      <w:pPr>
        <w:spacing w:after="120" w:before="0" w:line="240"/>
        <w:ind w:firstLine="720"/>
        <w:jc w:val="both"/>
      </w:pPr>
      <w:r>
        <w:rPr>
          <w:rFonts w:ascii="Times New Roman" w:cs="Times New Roman" w:eastAsia="Times New Roman" w:hAnsi="Times New Roman"/>
          <w:color w:val="000000"/>
          <w:sz w:val="24"/>
          <w:szCs w:val="24"/>
        </w:rPr>
        <w:t xml:space="preserve">LiteClaw addresses the gap between these two extremes by providing a minimal, auditable, multi-provider AI agent framework that is easy to understand, extend, and deploy. The key contributions of this work include: (1) a multi-LLM provider abstraction supporting Anthropic Claude, DeepSeek, and Groq through a unified interface; (2) a Markdown-based persistent memory system requiring no external database; (3) a prompt-based skill system that enables safe extensibility without arbitrary code execution; and (4) a React-based web interface with real-time WebSocket streaming for interactive agent monitoring.</w:t>
      </w:r>
    </w:p>
    <w:p>
      <w:pPr>
        <w:spacing w:after="120" w:before="240" w:line="240"/>
        <w:jc w:val="left"/>
      </w:pPr>
      <w:r>
        <w:rPr>
          <w:rFonts w:ascii="Times New Roman" w:cs="Times New Roman" w:eastAsia="Times New Roman" w:hAnsi="Times New Roman"/>
          <w:b/>
          <w:bCs/>
          <w:color w:val="000000"/>
          <w:sz w:val="28"/>
          <w:szCs w:val="28"/>
        </w:rPr>
        <w:t xml:space="preserve">3. System Architecture</w:t>
      </w:r>
    </w:p>
    <w:p>
      <w:pPr>
        <w:spacing w:after="60" w:before="180" w:line="240"/>
        <w:jc w:val="left"/>
      </w:pPr>
      <w:r>
        <w:rPr>
          <w:rFonts w:ascii="Times New Roman" w:cs="Times New Roman" w:eastAsia="Times New Roman" w:hAnsi="Times New Roman"/>
          <w:b/>
          <w:bCs/>
          <w:i/>
          <w:iCs/>
          <w:color w:val="000000"/>
          <w:sz w:val="24"/>
          <w:szCs w:val="24"/>
        </w:rPr>
        <w:t xml:space="preserve">3.1 Overview</w:t>
      </w:r>
    </w:p>
    <w:p>
      <w:pPr>
        <w:spacing w:after="120" w:before="0" w:line="240"/>
        <w:ind w:firstLine="720"/>
        <w:jc w:val="both"/>
      </w:pPr>
      <w:r>
        <w:rPr>
          <w:rFonts w:ascii="Times New Roman" w:cs="Times New Roman" w:eastAsia="Times New Roman" w:hAnsi="Times New Roman"/>
          <w:color w:val="000000"/>
          <w:sz w:val="24"/>
          <w:szCs w:val="24"/>
        </w:rPr>
        <w:t xml:space="preserve">LiteClaw employs a single-process, event-driven architecture built on Node.js with TypeScript. The system is designed around a central agentic loop that orchestrates communication between the user, the LLM, and the tool execution environment. All components communicate through well-defined TypeScript interfaces, ensuring type safety and enabling straightforward static analysis of the codebase.</w:t>
      </w:r>
    </w:p>
    <w:p>
      <w:pPr>
        <w:spacing w:after="120" w:before="0" w:line="240"/>
        <w:ind w:firstLine="720"/>
        <w:jc w:val="both"/>
      </w:pPr>
      <w:r>
        <w:rPr>
          <w:rFonts w:ascii="Times New Roman" w:cs="Times New Roman" w:eastAsia="Times New Roman" w:hAnsi="Times New Roman"/>
          <w:color w:val="000000"/>
          <w:sz w:val="24"/>
          <w:szCs w:val="24"/>
        </w:rPr>
        <w:t xml:space="preserve">The high-level data flow follows the pattern: User Message → Channel → Agent Loop → LLM Client → Tool Registry → Tool Execution → LLM Client (with results) → Response → Channel → User. This loop continues iteratively until the LLM produces a final text response without tool calls, or until the configurable maximum tool depth is reached.</w:t>
      </w:r>
    </w:p>
    <w:p>
      <w:pPr>
        <w:spacing w:after="60" w:before="180" w:line="240"/>
        <w:jc w:val="left"/>
      </w:pPr>
      <w:r>
        <w:rPr>
          <w:rFonts w:ascii="Times New Roman" w:cs="Times New Roman" w:eastAsia="Times New Roman" w:hAnsi="Times New Roman"/>
          <w:b/>
          <w:bCs/>
          <w:i/>
          <w:iCs/>
          <w:color w:val="000000"/>
          <w:sz w:val="24"/>
          <w:szCs w:val="24"/>
        </w:rPr>
        <w:t xml:space="preserve">3.2 The Agentic Loop</w:t>
      </w:r>
    </w:p>
    <w:p>
      <w:pPr>
        <w:spacing w:after="120" w:before="0" w:line="240"/>
        <w:ind w:firstLine="720"/>
        <w:jc w:val="both"/>
      </w:pPr>
      <w:r>
        <w:rPr>
          <w:rFonts w:ascii="Times New Roman" w:cs="Times New Roman" w:eastAsia="Times New Roman" w:hAnsi="Times New Roman"/>
          <w:color w:val="000000"/>
          <w:sz w:val="24"/>
          <w:szCs w:val="24"/>
        </w:rPr>
        <w:t xml:space="preserve">The core of LiteClaw is implemented in the Agent class (agent.ts). Upon receiving an incoming message, the agent constructs a context consisting of the system prompt, the conversation history, and the definitions of all available tools. This context is sent to the LLM via the LLMClient interface. The LLM’s response is parsed into two categories of content blocks: TextBlock (containing natural language text) and ToolUseBlock (containing a tool name, a unique identifier, and a JSON input object).</w:t>
      </w:r>
    </w:p>
    <w:p>
      <w:pPr>
        <w:spacing w:after="120" w:before="0" w:line="240"/>
        <w:ind w:firstLine="720"/>
        <w:jc w:val="both"/>
      </w:pPr>
      <w:r>
        <w:rPr>
          <w:rFonts w:ascii="Times New Roman" w:cs="Times New Roman" w:eastAsia="Times New Roman" w:hAnsi="Times New Roman"/>
          <w:color w:val="000000"/>
          <w:sz w:val="24"/>
          <w:szCs w:val="24"/>
        </w:rPr>
        <w:t xml:space="preserve">If the response contains no ToolUseBlock elements, the text content is returned to the user as the final response. If tool use blocks are present, each one is dispatched to the ToolRegistry for execution. The results are formatted as tool_result content blocks and appended to the conversation history, which is then sent back to the LLM for further reasoning. This iterative process continues until a termination condition is met, enabling the agent to perform multi-step tasks that require sequential tool invocations.</w:t>
      </w:r>
    </w:p>
    <w:p>
      <w:pPr>
        <w:spacing w:after="120" w:before="0" w:line="240"/>
        <w:ind w:firstLine="720"/>
        <w:jc w:val="both"/>
      </w:pPr>
      <w:r>
        <w:rPr>
          <w:rFonts w:ascii="Times New Roman" w:cs="Times New Roman" w:eastAsia="Times New Roman" w:hAnsi="Times New Roman"/>
          <w:color w:val="000000"/>
          <w:sz w:val="24"/>
          <w:szCs w:val="24"/>
        </w:rPr>
        <w:t xml:space="preserve">A configurable maximum tool depth (default: 10) prevents infinite loops. When this limit is reached, the agent returns all accumulated tool call records along with a notification to the user.</w:t>
      </w:r>
    </w:p>
    <w:p>
      <w:pPr>
        <w:spacing w:after="60" w:before="180" w:line="240"/>
        <w:jc w:val="left"/>
      </w:pPr>
      <w:r>
        <w:rPr>
          <w:rFonts w:ascii="Times New Roman" w:cs="Times New Roman" w:eastAsia="Times New Roman" w:hAnsi="Times New Roman"/>
          <w:b/>
          <w:bCs/>
          <w:i/>
          <w:iCs/>
          <w:color w:val="000000"/>
          <w:sz w:val="24"/>
          <w:szCs w:val="24"/>
        </w:rPr>
        <w:t xml:space="preserve">3.3 Component Breakdown</w:t>
      </w:r>
    </w:p>
    <w:p>
      <w:pPr>
        <w:spacing w:after="120" w:before="0" w:line="240"/>
        <w:ind w:firstLine="720"/>
        <w:jc w:val="both"/>
      </w:pPr>
      <w:r>
        <w:rPr>
          <w:rFonts w:ascii="Times New Roman" w:cs="Times New Roman" w:eastAsia="Times New Roman" w:hAnsi="Times New Roman"/>
          <w:color w:val="000000"/>
          <w:sz w:val="24"/>
          <w:szCs w:val="24"/>
        </w:rPr>
        <w:t xml:space="preserve">The backend codebase is organized into six modules, each with a clearly defined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Module</w:t>
            </w:r>
          </w:p>
        </w:tc>
        <w:tc>
          <w:tcPr>
            <w:tcW w:type="dxa" w:w="40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Files</w:t>
            </w:r>
          </w:p>
        </w:tc>
        <w:tc>
          <w:tcPr>
            <w:tcW w:type="dxa" w:w="35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Responsibility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Core</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agent.ts, llm.ts, tool-registry.ts, types.ts</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Agentic loop, LLM communication, tool dispatch, type definitions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Tools</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shell.ts, file-ops.ts, web-access.ts, memory-tool.ts</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Built-in tool implementations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Channels</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cli.ts, _base.ts</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User-facing input/output interfaces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Server</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api.ts, ws.ts</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HTTP REST API and WebSocket streaming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Memory</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memory-manager.ts, memory-types.ts</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Persistent Markdown-based storage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Skills</w:t>
            </w:r>
          </w:p>
        </w:tc>
        <w:tc>
          <w:tcPr>
            <w:tcW w:type="dxa" w:w="4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skill-loader.ts, skill-types.ts</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Markdown skill file loading and matching</w:t>
            </w:r>
          </w:p>
        </w:tc>
      </w:tr>
    </w:tbl>
    <w:p>
      <w:pPr>
        <w:spacing w:after="120" w:before="240" w:line="240"/>
        <w:jc w:val="left"/>
      </w:pPr>
      <w:r>
        <w:rPr>
          <w:rFonts w:ascii="Times New Roman" w:cs="Times New Roman" w:eastAsia="Times New Roman" w:hAnsi="Times New Roman"/>
          <w:b/>
          <w:bCs/>
          <w:color w:val="000000"/>
          <w:sz w:val="28"/>
          <w:szCs w:val="28"/>
        </w:rPr>
        <w:t xml:space="preserve">4. Multi-Provider LLM Integration</w:t>
      </w:r>
    </w:p>
    <w:p>
      <w:pPr>
        <w:spacing w:after="60" w:before="180" w:line="240"/>
        <w:jc w:val="left"/>
      </w:pPr>
      <w:r>
        <w:rPr>
          <w:rFonts w:ascii="Times New Roman" w:cs="Times New Roman" w:eastAsia="Times New Roman" w:hAnsi="Times New Roman"/>
          <w:b/>
          <w:bCs/>
          <w:i/>
          <w:iCs/>
          <w:color w:val="000000"/>
          <w:sz w:val="24"/>
          <w:szCs w:val="24"/>
        </w:rPr>
        <w:t xml:space="preserve">4.1 Provider Abstraction</w:t>
      </w:r>
    </w:p>
    <w:p>
      <w:pPr>
        <w:spacing w:after="120" w:before="0" w:line="240"/>
        <w:ind w:firstLine="720"/>
        <w:jc w:val="both"/>
      </w:pPr>
      <w:r>
        <w:rPr>
          <w:rFonts w:ascii="Times New Roman" w:cs="Times New Roman" w:eastAsia="Times New Roman" w:hAnsi="Times New Roman"/>
          <w:color w:val="000000"/>
          <w:sz w:val="24"/>
          <w:szCs w:val="24"/>
        </w:rPr>
        <w:t xml:space="preserve">A central design decision in LiteClaw is the abstraction of LLM communication behind a unified LLMClient interface. This interface defines a single method, chat(), which accepts a system prompt, a message history, and a list of tool definitions, and returns a standardized LLMResponse containing an array of ContentBlock elements (TextBlock or ToolUseBlock), a stop reason, and token usage statistics.</w:t>
      </w:r>
    </w:p>
    <w:p>
      <w:pPr>
        <w:spacing w:after="120" w:before="0" w:line="240"/>
        <w:ind w:firstLine="720"/>
        <w:jc w:val="both"/>
      </w:pPr>
      <w:r>
        <w:rPr>
          <w:rFonts w:ascii="Times New Roman" w:cs="Times New Roman" w:eastAsia="Times New Roman" w:hAnsi="Times New Roman"/>
          <w:color w:val="000000"/>
          <w:sz w:val="24"/>
          <w:szCs w:val="24"/>
        </w:rPr>
        <w:t xml:space="preserve">This abstraction decouples the agent logic from any specific LLM provider, enabling seamless switching between providers through a single environment variable (LLM_PROVIDER) without modifying any application code.</w:t>
      </w:r>
    </w:p>
    <w:p>
      <w:pPr>
        <w:spacing w:after="60" w:before="180" w:line="240"/>
        <w:jc w:val="left"/>
      </w:pPr>
      <w:r>
        <w:rPr>
          <w:rFonts w:ascii="Times New Roman" w:cs="Times New Roman" w:eastAsia="Times New Roman" w:hAnsi="Times New Roman"/>
          <w:b/>
          <w:bCs/>
          <w:i/>
          <w:iCs/>
          <w:color w:val="000000"/>
          <w:sz w:val="24"/>
          <w:szCs w:val="24"/>
        </w:rPr>
        <w:t xml:space="preserve">4.2 Anthropic Claude Integration</w:t>
      </w:r>
    </w:p>
    <w:p>
      <w:pPr>
        <w:spacing w:after="120" w:before="0" w:line="240"/>
        <w:ind w:firstLine="720"/>
        <w:jc w:val="both"/>
      </w:pPr>
      <w:r>
        <w:rPr>
          <w:rFonts w:ascii="Times New Roman" w:cs="Times New Roman" w:eastAsia="Times New Roman" w:hAnsi="Times New Roman"/>
          <w:color w:val="000000"/>
          <w:sz w:val="24"/>
          <w:szCs w:val="24"/>
        </w:rPr>
        <w:t xml:space="preserve">The AnthropicClient class wraps the official @anthropic-ai/sdk package. It translates the unified message format into Anthropic’s native content block structure, which natively supports tool_use and tool_result block types. Tool definitions are converted from Zod schemas to JSON Schema objects compatible with Claude’s tools parameter. The response is normalized back into the unified ContentBlock format.</w:t>
      </w:r>
    </w:p>
    <w:p>
      <w:pPr>
        <w:spacing w:after="60" w:before="180" w:line="240"/>
        <w:jc w:val="left"/>
      </w:pPr>
      <w:r>
        <w:rPr>
          <w:rFonts w:ascii="Times New Roman" w:cs="Times New Roman" w:eastAsia="Times New Roman" w:hAnsi="Times New Roman"/>
          <w:b/>
          <w:bCs/>
          <w:i/>
          <w:iCs/>
          <w:color w:val="000000"/>
          <w:sz w:val="24"/>
          <w:szCs w:val="24"/>
        </w:rPr>
        <w:t xml:space="preserve">4.3 OpenAI-Compatible Integration</w:t>
      </w:r>
    </w:p>
    <w:p>
      <w:pPr>
        <w:spacing w:after="120" w:before="0" w:line="240"/>
        <w:ind w:firstLine="720"/>
        <w:jc w:val="both"/>
      </w:pPr>
      <w:r>
        <w:rPr>
          <w:rFonts w:ascii="Times New Roman" w:cs="Times New Roman" w:eastAsia="Times New Roman" w:hAnsi="Times New Roman"/>
          <w:color w:val="000000"/>
          <w:sz w:val="24"/>
          <w:szCs w:val="24"/>
        </w:rPr>
        <w:t xml:space="preserve">The OpenAICompatibleClient class leverages the observation that both DeepSeek and Groq expose OpenAI-compatible API endpoints. By configuring the OpenAI SDK with different base URLs (api.deepseek.com for DeepSeek, api.groq.com/openai/v1 for Groq), a single implementation serves both providers. The translation layer converts between the unified ContentBlock format and OpenAI’s function-calling format, where tool calls appear as tool_calls arrays on assistant messages and tool results are sent as separate tool-role messages.</w:t>
      </w:r>
    </w:p>
    <w:p>
      <w:pPr>
        <w:spacing w:after="60" w:before="180" w:line="240"/>
        <w:jc w:val="left"/>
      </w:pPr>
      <w:r>
        <w:rPr>
          <w:rFonts w:ascii="Times New Roman" w:cs="Times New Roman" w:eastAsia="Times New Roman" w:hAnsi="Times New Roman"/>
          <w:b/>
          <w:bCs/>
          <w:i/>
          <w:iCs/>
          <w:color w:val="000000"/>
          <w:sz w:val="24"/>
          <w:szCs w:val="24"/>
        </w:rPr>
        <w:t xml:space="preserve">4.4 Factory Pattern</w:t>
      </w:r>
    </w:p>
    <w:p>
      <w:pPr>
        <w:spacing w:after="120" w:before="0" w:line="240"/>
        <w:ind w:firstLine="720"/>
        <w:jc w:val="both"/>
      </w:pPr>
      <w:r>
        <w:rPr>
          <w:rFonts w:ascii="Times New Roman" w:cs="Times New Roman" w:eastAsia="Times New Roman" w:hAnsi="Times New Roman"/>
          <w:color w:val="000000"/>
          <w:sz w:val="24"/>
          <w:szCs w:val="24"/>
        </w:rPr>
        <w:t xml:space="preserve">The createLLMClient() factory function inspects the LLM_PROVIDER configuration and instantiates the appropriate client class. Default models are pre-configured for each provider: claude-sonnet-4-20250514 for Anthropic, deepseek-chat for DeepSeek, and llama-3.3-70b-versatile for Groq. Users may override the model through the MODEL environment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200"/>
        <w:gridCol w:w="1160"/>
      </w:tblGrid>
      <w:tr>
        <w:tc>
          <w:tcPr>
            <w:tcW w:type="dxa" w:w="16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Provider</w:t>
            </w:r>
          </w:p>
        </w:tc>
        <w:tc>
          <w:tcPr>
            <w:tcW w:type="dxa" w:w="20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SDK</w:t>
            </w:r>
          </w:p>
        </w:tc>
        <w:tc>
          <w:tcPr>
            <w:tcW w:type="dxa" w:w="2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Base URL</w:t>
            </w:r>
          </w:p>
        </w:tc>
        <w:tc>
          <w:tcPr>
            <w:tcW w:type="dxa" w:w="2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Default Model</w:t>
            </w:r>
          </w:p>
        </w:tc>
        <w:tc>
          <w:tcPr>
            <w:tcW w:type="dxa" w:w="11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Cost</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Anthropic</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@anthropic-ai/sdk</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api.anthropic.com</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claude-sonnet-4-20250514</w:t>
            </w:r>
          </w:p>
        </w:tc>
        <w:tc>
          <w:tcPr>
            <w:tcW w:type="dxa" w:w="1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Paid</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DeepSeek</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openai (redirected)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api.deepseek.com</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deepseek-chat</w:t>
            </w:r>
          </w:p>
        </w:tc>
        <w:tc>
          <w:tcPr>
            <w:tcW w:type="dxa" w:w="1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Free</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Groq</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openai (redirected)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api.groq.com/openai/v1</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llama-3.3-70b-versatile</w:t>
            </w:r>
          </w:p>
        </w:tc>
        <w:tc>
          <w:tcPr>
            <w:tcW w:type="dxa" w:w="1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Free tier</w:t>
            </w:r>
          </w:p>
        </w:tc>
      </w:tr>
    </w:tbl>
    <w:p>
      <w:pPr>
        <w:spacing w:after="120" w:before="240" w:line="240"/>
        <w:jc w:val="left"/>
      </w:pPr>
      <w:r>
        <w:rPr>
          <w:rFonts w:ascii="Times New Roman" w:cs="Times New Roman" w:eastAsia="Times New Roman" w:hAnsi="Times New Roman"/>
          <w:b/>
          <w:bCs/>
          <w:color w:val="000000"/>
          <w:sz w:val="28"/>
          <w:szCs w:val="28"/>
        </w:rPr>
        <w:t xml:space="preserve">5. Tool System</w:t>
      </w:r>
    </w:p>
    <w:p>
      <w:pPr>
        <w:spacing w:after="60" w:before="180" w:line="240"/>
        <w:jc w:val="left"/>
      </w:pPr>
      <w:r>
        <w:rPr>
          <w:rFonts w:ascii="Times New Roman" w:cs="Times New Roman" w:eastAsia="Times New Roman" w:hAnsi="Times New Roman"/>
          <w:b/>
          <w:bCs/>
          <w:i/>
          <w:iCs/>
          <w:color w:val="000000"/>
          <w:sz w:val="24"/>
          <w:szCs w:val="24"/>
        </w:rPr>
        <w:t xml:space="preserve">5.1 Tool Architecture</w:t>
      </w:r>
    </w:p>
    <w:p>
      <w:pPr>
        <w:spacing w:after="120" w:before="0" w:line="240"/>
        <w:ind w:firstLine="720"/>
        <w:jc w:val="both"/>
      </w:pPr>
      <w:r>
        <w:rPr>
          <w:rFonts w:ascii="Times New Roman" w:cs="Times New Roman" w:eastAsia="Times New Roman" w:hAnsi="Times New Roman"/>
          <w:color w:val="000000"/>
          <w:sz w:val="24"/>
          <w:szCs w:val="24"/>
        </w:rPr>
        <w:t xml:space="preserve">The tool system follows an abstract base class pattern. Each tool extends the Tool class, providing a unique name, a natural language description (presented to the LLM), a Zod schema defining the expected input parameters, and an execute() method that performs the actual operation and returns a result object with success status, output text, and an optional error message.</w:t>
      </w:r>
    </w:p>
    <w:p>
      <w:pPr>
        <w:spacing w:after="120" w:before="0" w:line="240"/>
        <w:ind w:firstLine="720"/>
        <w:jc w:val="both"/>
      </w:pPr>
      <w:r>
        <w:rPr>
          <w:rFonts w:ascii="Times New Roman" w:cs="Times New Roman" w:eastAsia="Times New Roman" w:hAnsi="Times New Roman"/>
          <w:color w:val="000000"/>
          <w:sz w:val="24"/>
          <w:szCs w:val="24"/>
        </w:rPr>
        <w:t xml:space="preserve">The ToolRegistry manages tool lifecycle: it stores registered tools, exposes their definitions in the format required by the LLM API, and dispatches calls by name with configurable timeout enforcement. A custom Zod-to-JSON-Schema converter (schema.ts) translates Zod schemas into JSON Schema objects without requiring an additional dependency.</w:t>
      </w:r>
    </w:p>
    <w:p>
      <w:pPr>
        <w:spacing w:after="60" w:before="180" w:line="240"/>
        <w:jc w:val="left"/>
      </w:pPr>
      <w:r>
        <w:rPr>
          <w:rFonts w:ascii="Times New Roman" w:cs="Times New Roman" w:eastAsia="Times New Roman" w:hAnsi="Times New Roman"/>
          <w:b/>
          <w:bCs/>
          <w:i/>
          <w:iCs/>
          <w:color w:val="000000"/>
          <w:sz w:val="24"/>
          <w:szCs w:val="24"/>
        </w:rPr>
        <w:t xml:space="preserve">5.2 Shell Tool</w:t>
      </w:r>
    </w:p>
    <w:p>
      <w:pPr>
        <w:spacing w:after="120" w:before="0" w:line="240"/>
        <w:ind w:firstLine="720"/>
        <w:jc w:val="both"/>
      </w:pPr>
      <w:r>
        <w:rPr>
          <w:rFonts w:ascii="Times New Roman" w:cs="Times New Roman" w:eastAsia="Times New Roman" w:hAnsi="Times New Roman"/>
          <w:color w:val="000000"/>
          <w:sz w:val="24"/>
          <w:szCs w:val="24"/>
        </w:rPr>
        <w:t xml:space="preserve">The Shell Tool enables the agent to execute arbitrary shell commands within a sandboxed environment. Commands are executed via child_process.execFile with /bin/sh, within the configured workspace directory. Security measures include a denied command list (preventing destructive operations such as rm -rf / and mkfs), configurable execution timeouts (default: 15 seconds), and output truncation at 10,000 characters to prevent context window overflow.</w:t>
      </w:r>
    </w:p>
    <w:p>
      <w:pPr>
        <w:spacing w:after="60" w:before="180" w:line="240"/>
        <w:jc w:val="left"/>
      </w:pPr>
      <w:r>
        <w:rPr>
          <w:rFonts w:ascii="Times New Roman" w:cs="Times New Roman" w:eastAsia="Times New Roman" w:hAnsi="Times New Roman"/>
          <w:b/>
          <w:bCs/>
          <w:i/>
          <w:iCs/>
          <w:color w:val="000000"/>
          <w:sz w:val="24"/>
          <w:szCs w:val="24"/>
        </w:rPr>
        <w:t xml:space="preserve">5.3 File Operations Tool</w:t>
      </w:r>
    </w:p>
    <w:p>
      <w:pPr>
        <w:spacing w:after="120" w:before="0" w:line="240"/>
        <w:ind w:firstLine="720"/>
        <w:jc w:val="both"/>
      </w:pPr>
      <w:r>
        <w:rPr>
          <w:rFonts w:ascii="Times New Roman" w:cs="Times New Roman" w:eastAsia="Times New Roman" w:hAnsi="Times New Roman"/>
          <w:color w:val="000000"/>
          <w:sz w:val="24"/>
          <w:szCs w:val="24"/>
        </w:rPr>
        <w:t xml:space="preserve">The File Operations Tool provides five operations: read, write, append, list, and search. All file paths are resolved relative to a configurable workspace directory, with explicit path traversal prevention that rejects any resolved path outside the workspace boundary. The search operation performs recursive content search across files, respecting a maximum depth of five directories and returning up to 20 matching lines with file paths and line numbers.</w:t>
      </w:r>
    </w:p>
    <w:p>
      <w:pPr>
        <w:spacing w:after="60" w:before="180" w:line="240"/>
        <w:jc w:val="left"/>
      </w:pPr>
      <w:r>
        <w:rPr>
          <w:rFonts w:ascii="Times New Roman" w:cs="Times New Roman" w:eastAsia="Times New Roman" w:hAnsi="Times New Roman"/>
          <w:b/>
          <w:bCs/>
          <w:i/>
          <w:iCs/>
          <w:color w:val="000000"/>
          <w:sz w:val="24"/>
          <w:szCs w:val="24"/>
        </w:rPr>
        <w:t xml:space="preserve">5.4 Web Access Tool</w:t>
      </w:r>
    </w:p>
    <w:p>
      <w:pPr>
        <w:spacing w:after="120" w:before="0" w:line="240"/>
        <w:ind w:firstLine="720"/>
        <w:jc w:val="both"/>
      </w:pPr>
      <w:r>
        <w:rPr>
          <w:rFonts w:ascii="Times New Roman" w:cs="Times New Roman" w:eastAsia="Times New Roman" w:hAnsi="Times New Roman"/>
          <w:color w:val="000000"/>
          <w:sz w:val="24"/>
          <w:szCs w:val="24"/>
        </w:rPr>
        <w:t xml:space="preserve">The Web Access Tool enables the agent to fetch web pages and API endpoints using the Node.js built-in fetch() API. For HTML responses, the tool applies lightweight text extraction that removes script and style elements, strips HTML tags, decodes common HTML entities, and collapses whitespace. Responses are truncated to 8,000 characters. A 15-second timeout is enforced via AbortSignal.</w:t>
      </w:r>
    </w:p>
    <w:p>
      <w:pPr>
        <w:spacing w:after="60" w:before="180" w:line="240"/>
        <w:jc w:val="left"/>
      </w:pPr>
      <w:r>
        <w:rPr>
          <w:rFonts w:ascii="Times New Roman" w:cs="Times New Roman" w:eastAsia="Times New Roman" w:hAnsi="Times New Roman"/>
          <w:b/>
          <w:bCs/>
          <w:i/>
          <w:iCs/>
          <w:color w:val="000000"/>
          <w:sz w:val="24"/>
          <w:szCs w:val="24"/>
        </w:rPr>
        <w:t xml:space="preserve">5.5 Memory Tool</w:t>
      </w:r>
    </w:p>
    <w:p>
      <w:pPr>
        <w:spacing w:after="120" w:before="0" w:line="240"/>
        <w:ind w:firstLine="720"/>
        <w:jc w:val="both"/>
      </w:pPr>
      <w:r>
        <w:rPr>
          <w:rFonts w:ascii="Times New Roman" w:cs="Times New Roman" w:eastAsia="Times New Roman" w:hAnsi="Times New Roman"/>
          <w:color w:val="000000"/>
          <w:sz w:val="24"/>
          <w:szCs w:val="24"/>
        </w:rPr>
        <w:t xml:space="preserve">The Memory Tool exposes the MemoryManager (described in Section 6) as a tool accessible to the LLM. It supports three operations: store (persist a fact with optional tags), recall (search memories by query string), and list_conversations (enumerate past conversation sessions). This enables the agent to explicitly manage its own persistent knowledge.</w:t>
      </w:r>
    </w:p>
    <w:p>
      <w:pPr>
        <w:spacing w:after="120" w:before="240" w:line="240"/>
        <w:jc w:val="left"/>
      </w:pPr>
      <w:r>
        <w:rPr>
          <w:rFonts w:ascii="Times New Roman" w:cs="Times New Roman" w:eastAsia="Times New Roman" w:hAnsi="Times New Roman"/>
          <w:b/>
          <w:bCs/>
          <w:color w:val="000000"/>
          <w:sz w:val="28"/>
          <w:szCs w:val="28"/>
        </w:rPr>
        <w:t xml:space="preserve">6. Memory System</w:t>
      </w:r>
    </w:p>
    <w:p>
      <w:pPr>
        <w:spacing w:after="120" w:before="0" w:line="240"/>
        <w:ind w:firstLine="720"/>
        <w:jc w:val="both"/>
      </w:pPr>
      <w:r>
        <w:rPr>
          <w:rFonts w:ascii="Times New Roman" w:cs="Times New Roman" w:eastAsia="Times New Roman" w:hAnsi="Times New Roman"/>
          <w:color w:val="000000"/>
          <w:sz w:val="24"/>
          <w:szCs w:val="24"/>
        </w:rPr>
        <w:t xml:space="preserve">LiteClaw implements a local-first, Markdown-based persistent memory system that requires no external database or vector store. The MemoryManager class manages two categories of persistent data: facts and conversation logs.</w:t>
      </w:r>
    </w:p>
    <w:p>
      <w:pPr>
        <w:spacing w:after="120" w:before="0" w:line="240"/>
        <w:ind w:firstLine="720"/>
        <w:jc w:val="both"/>
      </w:pPr>
      <w:r>
        <w:rPr>
          <w:rFonts w:ascii="Times New Roman" w:cs="Times New Roman" w:eastAsia="Times New Roman" w:hAnsi="Times New Roman"/>
          <w:color w:val="000000"/>
          <w:sz w:val="24"/>
          <w:szCs w:val="24"/>
        </w:rPr>
        <w:t xml:space="preserve">Facts are stored as individual Markdown files in the memory/facts/ directory. Each file includes YAML frontmatter containing a unique identifier, tags array, and creation timestamp, followed by the fact content in the document body. This format is simultaneously machine-parseable and human-readable, enabling direct inspection and manual editing.</w:t>
      </w:r>
    </w:p>
    <w:p>
      <w:pPr>
        <w:spacing w:after="120" w:before="0" w:line="240"/>
        <w:ind w:firstLine="720"/>
        <w:jc w:val="both"/>
      </w:pPr>
      <w:r>
        <w:rPr>
          <w:rFonts w:ascii="Times New Roman" w:cs="Times New Roman" w:eastAsia="Times New Roman" w:hAnsi="Times New Roman"/>
          <w:color w:val="000000"/>
          <w:sz w:val="24"/>
          <w:szCs w:val="24"/>
        </w:rPr>
        <w:t xml:space="preserve">Conversation logs are stored in memory/conversations/ as Markdown files with YAML frontmatter (id, title, timestamps) and structured turn formatting using second-level headings for role identification. The MemoryManager provides methods for saving conversations, listing all conversations sorted by update time, and retrieving individual conversation histories.</w:t>
      </w:r>
    </w:p>
    <w:p>
      <w:pPr>
        <w:spacing w:after="120" w:before="0" w:line="240"/>
        <w:ind w:firstLine="720"/>
        <w:jc w:val="both"/>
      </w:pPr>
      <w:r>
        <w:rPr>
          <w:rFonts w:ascii="Times New Roman" w:cs="Times New Roman" w:eastAsia="Times New Roman" w:hAnsi="Times New Roman"/>
          <w:color w:val="000000"/>
          <w:sz w:val="24"/>
          <w:szCs w:val="24"/>
        </w:rPr>
        <w:t xml:space="preserve">Search is implemented as case-insensitive substring matching over file contents. While this O(n) approach is less efficient than vector-based semantic search, it is appropriate for the target scale of thousands of memory entries and eliminates the need for embedding models or vector database dependencies.</w:t>
      </w:r>
    </w:p>
    <w:p>
      <w:pPr>
        <w:spacing w:after="120" w:before="240" w:line="240"/>
        <w:jc w:val="left"/>
      </w:pPr>
      <w:r>
        <w:rPr>
          <w:rFonts w:ascii="Times New Roman" w:cs="Times New Roman" w:eastAsia="Times New Roman" w:hAnsi="Times New Roman"/>
          <w:b/>
          <w:bCs/>
          <w:color w:val="000000"/>
          <w:sz w:val="28"/>
          <w:szCs w:val="28"/>
        </w:rPr>
        <w:t xml:space="preserve">7. Skill System</w:t>
      </w:r>
    </w:p>
    <w:p>
      <w:pPr>
        <w:spacing w:after="120" w:before="0" w:line="240"/>
        <w:ind w:firstLine="720"/>
        <w:jc w:val="both"/>
      </w:pPr>
      <w:r>
        <w:rPr>
          <w:rFonts w:ascii="Times New Roman" w:cs="Times New Roman" w:eastAsia="Times New Roman" w:hAnsi="Times New Roman"/>
          <w:color w:val="000000"/>
          <w:sz w:val="24"/>
          <w:szCs w:val="24"/>
        </w:rPr>
        <w:t xml:space="preserve">The skill system enables extensibility through Markdown files that inject domain-specific instructions into the agent’s system prompt. Each skill is defined as a Markdown file in the skills/ directory with YAML frontmatter specifying the skill name, description, trigger keywords, and required tools.</w:t>
      </w:r>
    </w:p>
    <w:p>
      <w:pPr>
        <w:spacing w:after="120" w:before="0" w:line="240"/>
        <w:ind w:firstLine="720"/>
        <w:jc w:val="both"/>
      </w:pPr>
      <w:r>
        <w:rPr>
          <w:rFonts w:ascii="Times New Roman" w:cs="Times New Roman" w:eastAsia="Times New Roman" w:hAnsi="Times New Roman"/>
          <w:color w:val="000000"/>
          <w:sz w:val="24"/>
          <w:szCs w:val="24"/>
        </w:rPr>
        <w:t xml:space="preserve">The SkillLoader reads all non-prefixed .md files from the skills directory at startup, parses their frontmatter, and stores the definitions in an in-memory map. When processing a user message, the system performs keyword matching against registered trigger phrases. Matching skills have their instruction body injected into the system prompt, guiding the LLM’s behavior for that interaction.</w:t>
      </w:r>
    </w:p>
    <w:p>
      <w:pPr>
        <w:spacing w:after="120" w:before="0" w:line="240"/>
        <w:ind w:firstLine="720"/>
        <w:jc w:val="both"/>
      </w:pPr>
      <w:r>
        <w:rPr>
          <w:rFonts w:ascii="Times New Roman" w:cs="Times New Roman" w:eastAsia="Times New Roman" w:hAnsi="Times New Roman"/>
          <w:color w:val="000000"/>
          <w:sz w:val="24"/>
          <w:szCs w:val="24"/>
        </w:rPr>
        <w:t xml:space="preserve">A critical design decision is that skills are prompts, not executable code. This means that skills cannot perform arbitrary operations beyond what the registered tools already permit. This constraint significantly reduces the attack surface compared to code-based plugin systems (as demonstrated by the 335 malicious skills incident in OpenClaw’s registry) while still enabling meaningful behavioral customization.</w:t>
      </w:r>
    </w:p>
    <w:p>
      <w:pPr>
        <w:spacing w:after="120" w:before="240" w:line="240"/>
        <w:jc w:val="left"/>
      </w:pPr>
      <w:r>
        <w:rPr>
          <w:rFonts w:ascii="Times New Roman" w:cs="Times New Roman" w:eastAsia="Times New Roman" w:hAnsi="Times New Roman"/>
          <w:b/>
          <w:bCs/>
          <w:color w:val="000000"/>
          <w:sz w:val="28"/>
          <w:szCs w:val="28"/>
        </w:rPr>
        <w:t xml:space="preserve">8. Web Interface</w:t>
      </w:r>
    </w:p>
    <w:p>
      <w:pPr>
        <w:spacing w:after="60" w:before="180" w:line="240"/>
        <w:jc w:val="left"/>
      </w:pPr>
      <w:r>
        <w:rPr>
          <w:rFonts w:ascii="Times New Roman" w:cs="Times New Roman" w:eastAsia="Times New Roman" w:hAnsi="Times New Roman"/>
          <w:b/>
          <w:bCs/>
          <w:i/>
          <w:iCs/>
          <w:color w:val="000000"/>
          <w:sz w:val="24"/>
          <w:szCs w:val="24"/>
        </w:rPr>
        <w:t xml:space="preserve">8.1 Backend API Server</w:t>
      </w:r>
    </w:p>
    <w:p>
      <w:pPr>
        <w:spacing w:after="120" w:before="0" w:line="240"/>
        <w:ind w:firstLine="720"/>
        <w:jc w:val="both"/>
      </w:pPr>
      <w:r>
        <w:rPr>
          <w:rFonts w:ascii="Times New Roman" w:cs="Times New Roman" w:eastAsia="Times New Roman" w:hAnsi="Times New Roman"/>
          <w:color w:val="000000"/>
          <w:sz w:val="24"/>
          <w:szCs w:val="24"/>
        </w:rPr>
        <w:t xml:space="preserve">The web interface backend is implemented as an Express HTTP server providing both REST API endpoints and a WebSocket server. The REST API supports: POST /api/chat for synchronous message exchange, GET /api/conversations for listing past conversations, GET /api/conversations/:id for retrieving specific conversation histories, and POST /api/conversations/new for creating new conversation sessions. CORS headers are configured for development cross-origin requests.</w:t>
      </w:r>
    </w:p>
    <w:p>
      <w:pPr>
        <w:spacing w:after="60" w:before="180" w:line="240"/>
        <w:jc w:val="left"/>
      </w:pPr>
      <w:r>
        <w:rPr>
          <w:rFonts w:ascii="Times New Roman" w:cs="Times New Roman" w:eastAsia="Times New Roman" w:hAnsi="Times New Roman"/>
          <w:b/>
          <w:bCs/>
          <w:i/>
          <w:iCs/>
          <w:color w:val="000000"/>
          <w:sz w:val="24"/>
          <w:szCs w:val="24"/>
        </w:rPr>
        <w:t xml:space="preserve">8.2 WebSocket Streaming</w:t>
      </w:r>
    </w:p>
    <w:p>
      <w:pPr>
        <w:spacing w:after="120" w:before="0" w:line="240"/>
        <w:ind w:firstLine="720"/>
        <w:jc w:val="both"/>
      </w:pPr>
      <w:r>
        <w:rPr>
          <w:rFonts w:ascii="Times New Roman" w:cs="Times New Roman" w:eastAsia="Times New Roman" w:hAnsi="Times New Roman"/>
          <w:color w:val="000000"/>
          <w:sz w:val="24"/>
          <w:szCs w:val="24"/>
        </w:rPr>
        <w:t xml:space="preserve">The WebSocket server, mounted at the /ws path, enables real-time streaming of agent events to the frontend. Each WebSocket connection maintains its own conversation state (conversation ID and message history). Six event types are streamed: status (agent state transitions), tool_call (when a tool is invoked), tool_result (when a tool returns), text_delta (incremental text from the LLM), message_complete (final assembled response), and error (exception notifications). This granular event streaming enables the frontend to provide detailed real-time feedback about the agent’s reasoning process.</w:t>
      </w:r>
    </w:p>
    <w:p>
      <w:pPr>
        <w:spacing w:after="60" w:before="180" w:line="240"/>
        <w:jc w:val="left"/>
      </w:pPr>
      <w:r>
        <w:rPr>
          <w:rFonts w:ascii="Times New Roman" w:cs="Times New Roman" w:eastAsia="Times New Roman" w:hAnsi="Times New Roman"/>
          <w:b/>
          <w:bCs/>
          <w:i/>
          <w:iCs/>
          <w:color w:val="000000"/>
          <w:sz w:val="24"/>
          <w:szCs w:val="24"/>
        </w:rPr>
        <w:t xml:space="preserve">8.3 Frontend Application</w:t>
      </w:r>
    </w:p>
    <w:p>
      <w:pPr>
        <w:spacing w:after="120" w:before="0" w:line="240"/>
        <w:ind w:firstLine="720"/>
        <w:jc w:val="both"/>
      </w:pPr>
      <w:r>
        <w:rPr>
          <w:rFonts w:ascii="Times New Roman" w:cs="Times New Roman" w:eastAsia="Times New Roman" w:hAnsi="Times New Roman"/>
          <w:color w:val="000000"/>
          <w:sz w:val="24"/>
          <w:szCs w:val="24"/>
        </w:rPr>
        <w:t xml:space="preserve">The frontend is a React single-page application built with Vite and TypeScript. The core state management is encapsulated in a custom useChat hook that manages the WebSocket connection lifecycle (including automatic reconnection), message state, streaming text accumulation, pending tool call tracking, and agent state monitoring.</w:t>
      </w:r>
    </w:p>
    <w:p>
      <w:pPr>
        <w:spacing w:after="120" w:before="0" w:line="240"/>
        <w:ind w:firstLine="720"/>
        <w:jc w:val="both"/>
      </w:pPr>
      <w:r>
        <w:rPr>
          <w:rFonts w:ascii="Times New Roman" w:cs="Times New Roman" w:eastAsia="Times New Roman" w:hAnsi="Times New Roman"/>
          <w:color w:val="000000"/>
          <w:sz w:val="24"/>
          <w:szCs w:val="24"/>
        </w:rPr>
        <w:t xml:space="preserve">The user interface comprises five components: ChatWindow (scrollable message list with input area), MessageBubble (renders individual messages with Markdown support via react-markdown), ToolCallCard (collapsible card displaying tool invocation details including name, input parameters, and output), StatusBar (real-time agent state indicator), and a responsive layout with dark mode support via CSS custom properties and the prefers-color-scheme media query.</w:t>
      </w:r>
    </w:p>
    <w:p>
      <w:pPr>
        <w:spacing w:after="120" w:before="240" w:line="240"/>
        <w:jc w:val="left"/>
      </w:pPr>
      <w:r>
        <w:rPr>
          <w:rFonts w:ascii="Times New Roman" w:cs="Times New Roman" w:eastAsia="Times New Roman" w:hAnsi="Times New Roman"/>
          <w:b/>
          <w:bCs/>
          <w:color w:val="000000"/>
          <w:sz w:val="28"/>
          <w:szCs w:val="28"/>
        </w:rPr>
        <w:t xml:space="preserve">9. Comparison with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Aspect</w:t>
            </w:r>
          </w:p>
        </w:tc>
        <w:tc>
          <w:tcPr>
            <w:tcW w:type="dxa" w:w="2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OpenClaw</w:t>
            </w:r>
          </w:p>
        </w:tc>
        <w:tc>
          <w:tcPr>
            <w:tcW w:type="dxa" w:w="2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NanoClaw</w:t>
            </w:r>
          </w:p>
        </w:tc>
        <w:tc>
          <w:tcPr>
            <w:tcW w:type="dxa" w:w="316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spacing w:line="240"/>
              <w:jc w:val="left"/>
            </w:pPr>
            <w:r>
              <w:rPr>
                <w:rFonts w:ascii="Times New Roman" w:cs="Times New Roman" w:eastAsia="Times New Roman" w:hAnsi="Times New Roman"/>
                <w:b/>
                <w:bCs/>
                <w:color w:val="000000"/>
                <w:sz w:val="24"/>
                <w:szCs w:val="24"/>
              </w:rPr>
              <w:t xml:space="preserve">LiteClaw</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Codebase Size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~500,000 LOC</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~3,900 LOC</w:t>
            </w:r>
          </w:p>
        </w:tc>
        <w:tc>
          <w:tcPr>
            <w:tcW w:type="dxa" w:w="3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~2,500 + ~850 LOC</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Dependencies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70+</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~15</w:t>
            </w:r>
          </w:p>
        </w:tc>
        <w:tc>
          <w:tcPr>
            <w:tcW w:type="dxa" w:w="3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6</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LLM Support</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Multi-provider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Claude only</w:t>
            </w:r>
          </w:p>
        </w:tc>
        <w:tc>
          <w:tcPr>
            <w:tcW w:type="dxa" w:w="3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Claude, DeepSeek, Groq</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Security Model</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Application-level</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OS-level containers</w:t>
            </w:r>
          </w:p>
        </w:tc>
        <w:tc>
          <w:tcPr>
            <w:tcW w:type="dxa" w:w="3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Workspace sandboxing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User Interface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Multi-channel messaging</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CLI only</w:t>
            </w:r>
          </w:p>
        </w:tc>
        <w:tc>
          <w:tcPr>
            <w:tcW w:type="dxa" w:w="3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CLI + React Web UI</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Memory System</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Markdown files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Markdown files</w:t>
            </w:r>
          </w:p>
        </w:tc>
        <w:tc>
          <w:tcPr>
            <w:tcW w:type="dxa" w:w="3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Markdown files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Skill System</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Code-based (700+ community)</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N/A</w:t>
            </w:r>
          </w:p>
        </w:tc>
        <w:tc>
          <w:tcPr>
            <w:tcW w:type="dxa" w:w="3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Prompt-based (Markdown)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Streaming UI</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Via messaging platforms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N/A</w:t>
            </w:r>
          </w:p>
        </w:tc>
        <w:tc>
          <w:tcPr>
            <w:tcW w:type="dxa" w:w="316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jc w:val="left"/>
            </w:pPr>
            <w:r>
              <w:rPr>
                <w:rFonts w:ascii="Times New Roman" w:cs="Times New Roman" w:eastAsia="Times New Roman" w:hAnsi="Times New Roman"/>
                <w:color w:val="000000"/>
                <w:sz w:val="24"/>
                <w:szCs w:val="24"/>
              </w:rPr>
              <w:t xml:space="preserve">WebSocket real-time</w:t>
            </w:r>
          </w:p>
        </w:tc>
      </w:tr>
    </w:tbl>
    <w:p>
      <w:pPr>
        <w:spacing w:after="120" w:before="0" w:line="240"/>
        <w:jc w:val="both"/>
      </w:pPr>
      <w:r>
        <w:rPr>
          <w:rFonts w:ascii="Times New Roman" w:cs="Times New Roman" w:eastAsia="Times New Roman" w:hAnsi="Times New Roman"/>
          <w:color w:val="000000"/>
          <w:sz w:val="24"/>
          <w:szCs w:val="24"/>
        </w:rPr>
        <w:t xml:space="preserve"/>
      </w:r>
    </w:p>
    <w:p>
      <w:pPr>
        <w:spacing w:after="120" w:before="0" w:line="240"/>
        <w:ind w:firstLine="720"/>
        <w:jc w:val="both"/>
      </w:pPr>
      <w:r>
        <w:rPr>
          <w:rFonts w:ascii="Times New Roman" w:cs="Times New Roman" w:eastAsia="Times New Roman" w:hAnsi="Times New Roman"/>
          <w:color w:val="000000"/>
          <w:sz w:val="24"/>
          <w:szCs w:val="24"/>
        </w:rPr>
        <w:t xml:space="preserve">As shown in the comparison table, LiteClaw achieves a balance between the comprehensive feature set of OpenClaw and the minimal footprint of NanoClaw. While OpenClaw provides the most extensive functionality, its complexity introduces significant security and maintainability challenges. NanoClaw addresses security through OS-level isolation but sacrifices multi-provider support and graphical interfaces. LiteClaw offers multi-provider LLM support, a web-based user interface with real-time streaming, and a safe prompt-based skill system, all within a codebase that is small enough to be audited in its entirety within a single reading session.</w:t>
      </w:r>
    </w:p>
    <w:p>
      <w:pPr>
        <w:spacing w:after="120" w:before="240" w:line="240"/>
        <w:jc w:val="left"/>
      </w:pPr>
      <w:r>
        <w:rPr>
          <w:rFonts w:ascii="Times New Roman" w:cs="Times New Roman" w:eastAsia="Times New Roman" w:hAnsi="Times New Roman"/>
          <w:b/>
          <w:bCs/>
          <w:color w:val="000000"/>
          <w:sz w:val="28"/>
          <w:szCs w:val="28"/>
        </w:rPr>
        <w:t xml:space="preserve">10. Conclusion and Future Work</w:t>
      </w:r>
    </w:p>
    <w:p>
      <w:pPr>
        <w:spacing w:after="120" w:before="0" w:line="240"/>
        <w:ind w:firstLine="720"/>
        <w:jc w:val="both"/>
      </w:pPr>
      <w:r>
        <w:rPr>
          <w:rFonts w:ascii="Times New Roman" w:cs="Times New Roman" w:eastAsia="Times New Roman" w:hAnsi="Times New Roman"/>
          <w:color w:val="000000"/>
          <w:sz w:val="24"/>
          <w:szCs w:val="24"/>
        </w:rPr>
        <w:t xml:space="preserve">This report has presented LiteClaw, a lightweight autonomous AI agent framework that demonstrates the feasibility of building a functional, multi-provider agent system with minimal code and dependencies. The framework’s architecture—centered on an iterative agentic loop with a unified LLM provider abstraction, Markdown-based persistent memory, prompt-based skills, and a real-time web interface—provides a foundation that is simultaneously capable and auditable.</w:t>
      </w:r>
    </w:p>
    <w:p>
      <w:pPr>
        <w:spacing w:after="120" w:before="0" w:line="240"/>
        <w:ind w:firstLine="720"/>
        <w:jc w:val="both"/>
      </w:pPr>
      <w:r>
        <w:rPr>
          <w:rFonts w:ascii="Times New Roman" w:cs="Times New Roman" w:eastAsia="Times New Roman" w:hAnsi="Times New Roman"/>
          <w:color w:val="000000"/>
          <w:sz w:val="24"/>
          <w:szCs w:val="24"/>
        </w:rPr>
        <w:t xml:space="preserve">The multi-provider abstraction is a particularly significant contribution, as it allows users to choose between paid services (Anthropic Claude) and free alternatives (DeepSeek, Groq) without any code modifications. This democratizes access to autonomous agent technology by eliminating the cost barrier associated with commercial LLM APIs.</w:t>
      </w:r>
    </w:p>
    <w:p>
      <w:pPr>
        <w:spacing w:after="120" w:before="0" w:line="240"/>
        <w:ind w:firstLine="720"/>
        <w:jc w:val="both"/>
      </w:pPr>
      <w:r>
        <w:rPr>
          <w:rFonts w:ascii="Times New Roman" w:cs="Times New Roman" w:eastAsia="Times New Roman" w:hAnsi="Times New Roman"/>
          <w:color w:val="000000"/>
          <w:sz w:val="24"/>
          <w:szCs w:val="24"/>
        </w:rPr>
        <w:t xml:space="preserve">Several directions for future work have been identified. First, container-based isolation for tool execution, following NanoClaw’s approach, would strengthen the security model by providing OS-level sandboxing for shell commands and file operations. Second, integration with additional messaging channels, particularly Telegram, would enable mobile access to the agent. Third, replacing substring-based memory search with vector embeddings and semantic similarity would improve recall quality for large memory stores. Fourth, implementing true token-level streaming from the LLM would reduce perceived latency in the web interface. Fifth, an agent swarm architecture, in which multiple specialized agents collaborate within a shared context, would enable more complex task decomposition. Finally, a community skill registry with integrity verification would allow safe sharing and discovery of skill definitions.</w:t>
      </w:r>
    </w:p>
    <w:p>
      <w:pPr>
        <w:spacing w:after="120" w:before="0" w:line="240"/>
        <w:ind w:firstLine="720"/>
        <w:jc w:val="both"/>
      </w:pPr>
      <w:r>
        <w:rPr>
          <w:rFonts w:ascii="Times New Roman" w:cs="Times New Roman" w:eastAsia="Times New Roman" w:hAnsi="Times New Roman"/>
          <w:color w:val="000000"/>
          <w:sz w:val="24"/>
          <w:szCs w:val="24"/>
        </w:rPr>
        <w:t xml:space="preserve">LiteClaw is released as open-source software under the MIT License, with the aspiration of contributing to the broader understanding and democratization of autonomous AI agent technology.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000000"/>
        <w:sz w:val="20"/>
        <w:szCs w:val="20"/>
      </w:rPr>
      <w:t xml:space="preserve">LiteClaw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2026-03-16T18:01:52.151Z</dcterms:created>
  <dcterms:modified xsi:type="dcterms:W3CDTF">2026-03-16T18:01:52.151Z</dcterms:modified>
</cp:coreProperties>
</file>

<file path=docProps/custom.xml><?xml version="1.0" encoding="utf-8"?>
<Properties xmlns="http://schemas.openxmlformats.org/officeDocument/2006/custom-properties" xmlns:vt="http://schemas.openxmlformats.org/officeDocument/2006/docPropsVTypes"/>
</file>